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C80E6" w14:textId="2AEEFD91" w:rsidR="00840D0A" w:rsidRPr="00D11976" w:rsidRDefault="004C4076" w:rsidP="00C101C8">
      <w:pPr>
        <w:jc w:val="thaiDistribute"/>
        <w:rPr>
          <w:rFonts w:asciiTheme="minorBidi" w:hAnsiTheme="minorBidi" w:cstheme="minorBidi"/>
          <w:b/>
          <w:bCs/>
          <w:sz w:val="32"/>
          <w:szCs w:val="32"/>
        </w:rPr>
      </w:pPr>
      <w:r w:rsidRPr="00D11976">
        <w:rPr>
          <w:rFonts w:asciiTheme="minorBidi" w:hAnsiTheme="minorBidi" w:cstheme="minorBidi"/>
          <w:b/>
          <w:bCs/>
          <w:noProof/>
          <w:sz w:val="32"/>
          <w:szCs w:val="32"/>
        </w:rPr>
        <w:drawing>
          <wp:anchor distT="0" distB="0" distL="114300" distR="114300" simplePos="0" relativeHeight="251658240" behindDoc="0" locked="0" layoutInCell="1" allowOverlap="1" wp14:anchorId="72CE1810" wp14:editId="1C6A79BE">
            <wp:simplePos x="0" y="0"/>
            <wp:positionH relativeFrom="margin">
              <wp:posOffset>4862195</wp:posOffset>
            </wp:positionH>
            <wp:positionV relativeFrom="paragraph">
              <wp:posOffset>-383108</wp:posOffset>
            </wp:positionV>
            <wp:extent cx="1233805" cy="431800"/>
            <wp:effectExtent l="0" t="0" r="4445" b="6350"/>
            <wp:wrapNone/>
            <wp:docPr id="1073741825" name="officeArt object" descr="C:\Users\cctemp02\Desktop\Info &amp; Media\Logo SCG\New Logo 2015\Logo SCG.JPG"/>
            <wp:cNvGraphicFramePr/>
            <a:graphic xmlns:a="http://schemas.openxmlformats.org/drawingml/2006/main">
              <a:graphicData uri="http://schemas.openxmlformats.org/drawingml/2006/picture">
                <pic:pic xmlns:pic="http://schemas.openxmlformats.org/drawingml/2006/picture">
                  <pic:nvPicPr>
                    <pic:cNvPr id="1073741825" name="Logo SCG.jpg" descr="C:\Users\cctemp02\Desktop\Info &amp; Media\Logo SCG\New Logo 2015\Logo SC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3805" cy="431800"/>
                    </a:xfrm>
                    <a:prstGeom prst="rect">
                      <a:avLst/>
                    </a:prstGeom>
                    <a:ln w="12700" cap="flat">
                      <a:noFill/>
                      <a:miter lim="400000"/>
                    </a:ln>
                    <a:effectLst/>
                  </pic:spPr>
                </pic:pic>
              </a:graphicData>
            </a:graphic>
          </wp:anchor>
        </w:drawing>
      </w:r>
      <w:r w:rsidR="00406227" w:rsidRPr="00D11976">
        <w:rPr>
          <w:rFonts w:asciiTheme="minorBidi" w:hAnsiTheme="minorBidi" w:cstheme="minorBidi"/>
          <w:b/>
          <w:bCs/>
          <w:sz w:val="32"/>
          <w:szCs w:val="32"/>
        </w:rPr>
        <w:t>Press Release</w:t>
      </w:r>
    </w:p>
    <w:p w14:paraId="741D4B33" w14:textId="77777777" w:rsidR="009831B3" w:rsidRPr="00D11976" w:rsidRDefault="009831B3" w:rsidP="00C101C8">
      <w:pPr>
        <w:jc w:val="thaiDistribute"/>
        <w:rPr>
          <w:rFonts w:asciiTheme="minorBidi" w:hAnsiTheme="minorBidi" w:cstheme="minorBidi"/>
          <w:b/>
          <w:bCs/>
          <w:sz w:val="32"/>
          <w:szCs w:val="32"/>
        </w:rPr>
      </w:pPr>
    </w:p>
    <w:p w14:paraId="473DD83C" w14:textId="0EC78A06" w:rsidR="00C101C8" w:rsidRPr="00D11976" w:rsidRDefault="009831B3" w:rsidP="00C101C8">
      <w:pPr>
        <w:jc w:val="center"/>
        <w:rPr>
          <w:rFonts w:asciiTheme="minorBidi" w:hAnsiTheme="minorBidi" w:cstheme="minorBidi"/>
          <w:b/>
          <w:bCs/>
          <w:sz w:val="32"/>
          <w:szCs w:val="32"/>
        </w:rPr>
      </w:pPr>
      <w:r w:rsidRPr="00D11976">
        <w:rPr>
          <w:rFonts w:asciiTheme="minorBidi" w:hAnsiTheme="minorBidi" w:cstheme="minorBidi"/>
          <w:b/>
          <w:bCs/>
          <w:sz w:val="32"/>
          <w:szCs w:val="32"/>
        </w:rPr>
        <w:t>SCG Announces Operating Results for Q2/2019 and H1/2019,</w:t>
      </w:r>
    </w:p>
    <w:p w14:paraId="22DAD306" w14:textId="2A9D5F86" w:rsidR="009831B3" w:rsidRPr="00D11976" w:rsidRDefault="009831B3" w:rsidP="00C101C8">
      <w:pPr>
        <w:jc w:val="center"/>
        <w:rPr>
          <w:rFonts w:asciiTheme="minorBidi" w:hAnsiTheme="minorBidi" w:cstheme="minorBidi"/>
          <w:b/>
          <w:bCs/>
          <w:sz w:val="32"/>
          <w:szCs w:val="32"/>
        </w:rPr>
      </w:pPr>
      <w:r w:rsidRPr="00D11976">
        <w:rPr>
          <w:rFonts w:asciiTheme="minorBidi" w:hAnsiTheme="minorBidi" w:cstheme="minorBidi"/>
          <w:b/>
          <w:bCs/>
          <w:sz w:val="32"/>
          <w:szCs w:val="32"/>
        </w:rPr>
        <w:t>Promotes HVA, Circular Economy and Total Solutions While Speeding up Investment Projects to Meet Planned Target, Building Long-Term Growth and Stability Amidst Challenging Economy</w:t>
      </w:r>
    </w:p>
    <w:p w14:paraId="3FDE4B72" w14:textId="77777777" w:rsidR="009831B3" w:rsidRPr="00D11976" w:rsidRDefault="009831B3" w:rsidP="00C101C8">
      <w:pPr>
        <w:jc w:val="thaiDistribute"/>
        <w:rPr>
          <w:rFonts w:asciiTheme="minorBidi" w:hAnsiTheme="minorBidi" w:cstheme="minorBidi"/>
          <w:sz w:val="32"/>
          <w:szCs w:val="32"/>
        </w:rPr>
      </w:pPr>
    </w:p>
    <w:p w14:paraId="4E012C14" w14:textId="732991FC" w:rsidR="009831B3" w:rsidRPr="00D11976" w:rsidRDefault="009831B3" w:rsidP="00C101C8">
      <w:pPr>
        <w:jc w:val="thaiDistribute"/>
        <w:rPr>
          <w:rFonts w:asciiTheme="minorBidi" w:hAnsiTheme="minorBidi" w:cstheme="minorBidi"/>
          <w:b/>
          <w:bCs/>
          <w:i/>
          <w:iCs/>
          <w:sz w:val="32"/>
          <w:szCs w:val="32"/>
        </w:rPr>
      </w:pPr>
      <w:r w:rsidRPr="00D11976">
        <w:rPr>
          <w:rFonts w:asciiTheme="minorBidi" w:hAnsiTheme="minorBidi" w:cstheme="minorBidi"/>
          <w:b/>
          <w:bCs/>
          <w:i/>
          <w:iCs/>
          <w:sz w:val="32"/>
          <w:szCs w:val="32"/>
        </w:rPr>
        <w:t>BANGKOK: 26 July 2019 – SCG announced its operating results for Q2/2019 and H1/2019</w:t>
      </w:r>
      <w:r w:rsidR="00F251AB" w:rsidRPr="00D11976">
        <w:rPr>
          <w:rFonts w:asciiTheme="minorBidi" w:hAnsiTheme="minorBidi" w:cstheme="minorBidi"/>
          <w:b/>
          <w:bCs/>
          <w:i/>
          <w:iCs/>
          <w:sz w:val="32"/>
          <w:szCs w:val="32"/>
        </w:rPr>
        <w:t xml:space="preserve"> with shrinking profits spawned by trade war tensions, pledging to push forward </w:t>
      </w:r>
      <w:r w:rsidRPr="00D11976">
        <w:rPr>
          <w:rFonts w:asciiTheme="minorBidi" w:hAnsiTheme="minorBidi" w:cstheme="minorBidi"/>
          <w:b/>
          <w:bCs/>
          <w:i/>
          <w:iCs/>
          <w:sz w:val="32"/>
          <w:szCs w:val="32"/>
        </w:rPr>
        <w:t>development of innovative and high value added products and services and achieving a circular economy complemented with delivering total solutions for customers and accelerating major investment projects to meet the planned target. A series of measures taken to ensure long-term growth and maintain stability.</w:t>
      </w:r>
    </w:p>
    <w:p w14:paraId="1E04E90A" w14:textId="772075D3" w:rsidR="009831B3" w:rsidRPr="00D11976" w:rsidRDefault="009831B3" w:rsidP="00C101C8">
      <w:pPr>
        <w:ind w:firstLine="720"/>
        <w:jc w:val="thaiDistribute"/>
        <w:rPr>
          <w:rFonts w:asciiTheme="minorBidi" w:hAnsiTheme="minorBidi" w:cstheme="minorBidi"/>
          <w:sz w:val="32"/>
          <w:szCs w:val="32"/>
          <w:cs/>
        </w:rPr>
      </w:pPr>
      <w:r w:rsidRPr="00D11976">
        <w:rPr>
          <w:rFonts w:asciiTheme="minorBidi" w:hAnsiTheme="minorBidi" w:cstheme="minorBidi"/>
          <w:b/>
          <w:bCs/>
          <w:sz w:val="32"/>
          <w:szCs w:val="32"/>
        </w:rPr>
        <w:t>Mr. Roongrote Rangsiyopash, President and CEO of SCG</w:t>
      </w:r>
      <w:r w:rsidRPr="00D11976">
        <w:rPr>
          <w:rFonts w:asciiTheme="minorBidi" w:hAnsiTheme="minorBidi" w:cstheme="minorBidi"/>
          <w:sz w:val="32"/>
          <w:szCs w:val="32"/>
        </w:rPr>
        <w:t xml:space="preserve">, disclosed the </w:t>
      </w:r>
      <w:r w:rsidRPr="00D11976">
        <w:rPr>
          <w:rFonts w:asciiTheme="minorBidi" w:hAnsiTheme="minorBidi" w:cstheme="minorBidi"/>
          <w:b/>
          <w:bCs/>
          <w:sz w:val="32"/>
          <w:szCs w:val="32"/>
        </w:rPr>
        <w:t>Company’s un</w:t>
      </w:r>
      <w:r w:rsidR="00AC5ABB" w:rsidRPr="00D11976">
        <w:rPr>
          <w:rFonts w:asciiTheme="minorBidi" w:hAnsiTheme="minorBidi" w:cstheme="minorBidi"/>
          <w:b/>
          <w:bCs/>
          <w:sz w:val="32"/>
          <w:szCs w:val="32"/>
        </w:rPr>
        <w:t>reviewed</w:t>
      </w:r>
      <w:r w:rsidRPr="00D11976">
        <w:rPr>
          <w:rFonts w:asciiTheme="minorBidi" w:hAnsiTheme="minorBidi" w:cstheme="minorBidi"/>
          <w:b/>
          <w:bCs/>
          <w:sz w:val="32"/>
          <w:szCs w:val="32"/>
        </w:rPr>
        <w:t xml:space="preserve"> Operating Results for Q2/2019 </w:t>
      </w:r>
      <w:r w:rsidRPr="00D11976">
        <w:rPr>
          <w:rFonts w:asciiTheme="minorBidi" w:hAnsiTheme="minorBidi" w:cstheme="minorBidi"/>
          <w:sz w:val="32"/>
          <w:szCs w:val="32"/>
        </w:rPr>
        <w:t xml:space="preserve">with registering Revenue from Sales of </w:t>
      </w:r>
      <w:r w:rsidR="00C71F1E" w:rsidRPr="00D11976">
        <w:rPr>
          <w:rFonts w:asciiTheme="minorBidi" w:hAnsiTheme="minorBidi" w:cstheme="minorBidi"/>
          <w:sz w:val="32"/>
          <w:szCs w:val="32"/>
        </w:rPr>
        <w:t>109,094</w:t>
      </w:r>
      <w:r w:rsidRPr="00D11976">
        <w:rPr>
          <w:rFonts w:asciiTheme="minorBidi" w:hAnsiTheme="minorBidi" w:cstheme="minorBidi"/>
          <w:sz w:val="32"/>
          <w:szCs w:val="32"/>
        </w:rPr>
        <w:t xml:space="preserve"> MB, a decrease of </w:t>
      </w:r>
      <w:r w:rsidR="00C71F1E" w:rsidRPr="00D11976">
        <w:rPr>
          <w:rFonts w:asciiTheme="minorBidi" w:hAnsiTheme="minorBidi" w:cstheme="minorBidi"/>
          <w:sz w:val="32"/>
          <w:szCs w:val="32"/>
        </w:rPr>
        <w:t>9</w:t>
      </w:r>
      <w:r w:rsidRPr="00D11976">
        <w:rPr>
          <w:rFonts w:asciiTheme="minorBidi" w:hAnsiTheme="minorBidi" w:cstheme="minorBidi"/>
          <w:sz w:val="32"/>
          <w:szCs w:val="32"/>
        </w:rPr>
        <w:t xml:space="preserve">% y-o-y, </w:t>
      </w:r>
      <w:r w:rsidR="00C71F1E" w:rsidRPr="00D11976">
        <w:rPr>
          <w:rFonts w:asciiTheme="minorBidi" w:hAnsiTheme="minorBidi" w:cstheme="minorBidi"/>
          <w:sz w:val="32"/>
          <w:szCs w:val="32"/>
        </w:rPr>
        <w:t>mainly from</w:t>
      </w:r>
      <w:r w:rsidRPr="00D11976">
        <w:rPr>
          <w:rFonts w:asciiTheme="minorBidi" w:hAnsiTheme="minorBidi" w:cstheme="minorBidi"/>
          <w:sz w:val="32"/>
          <w:szCs w:val="32"/>
        </w:rPr>
        <w:t xml:space="preserve"> </w:t>
      </w:r>
      <w:r w:rsidR="00C71F1E" w:rsidRPr="00D11976">
        <w:rPr>
          <w:rFonts w:asciiTheme="minorBidi" w:hAnsiTheme="minorBidi" w:cstheme="minorBidi"/>
          <w:sz w:val="32"/>
          <w:szCs w:val="32"/>
        </w:rPr>
        <w:t xml:space="preserve">lower </w:t>
      </w:r>
      <w:r w:rsidRPr="00D11976">
        <w:rPr>
          <w:rFonts w:asciiTheme="minorBidi" w:hAnsiTheme="minorBidi" w:cstheme="minorBidi"/>
          <w:sz w:val="32"/>
          <w:szCs w:val="32"/>
        </w:rPr>
        <w:t xml:space="preserve">chemicals </w:t>
      </w:r>
      <w:r w:rsidR="00C71F1E" w:rsidRPr="00D11976">
        <w:rPr>
          <w:rFonts w:asciiTheme="minorBidi" w:hAnsiTheme="minorBidi" w:cstheme="minorBidi"/>
          <w:sz w:val="32"/>
          <w:szCs w:val="32"/>
        </w:rPr>
        <w:t>product prices and a 3</w:t>
      </w:r>
      <w:r w:rsidRPr="00D11976">
        <w:rPr>
          <w:rFonts w:asciiTheme="minorBidi" w:hAnsiTheme="minorBidi" w:cstheme="minorBidi"/>
          <w:sz w:val="32"/>
          <w:szCs w:val="32"/>
        </w:rPr>
        <w:t xml:space="preserve">% drop q-o-q </w:t>
      </w:r>
      <w:r w:rsidR="00C71F1E" w:rsidRPr="00D11976">
        <w:rPr>
          <w:rFonts w:asciiTheme="minorBidi" w:hAnsiTheme="minorBidi" w:cstheme="minorBidi"/>
          <w:sz w:val="32"/>
          <w:szCs w:val="32"/>
        </w:rPr>
        <w:t>with decreases from all core business</w:t>
      </w:r>
      <w:r w:rsidR="00F251AB" w:rsidRPr="00D11976">
        <w:rPr>
          <w:rFonts w:asciiTheme="minorBidi" w:hAnsiTheme="minorBidi" w:cstheme="minorBidi"/>
          <w:sz w:val="32"/>
          <w:szCs w:val="32"/>
        </w:rPr>
        <w:t>es</w:t>
      </w:r>
      <w:r w:rsidRPr="00D11976">
        <w:rPr>
          <w:rFonts w:asciiTheme="minorBidi" w:hAnsiTheme="minorBidi" w:cstheme="minorBidi"/>
          <w:sz w:val="32"/>
          <w:szCs w:val="32"/>
        </w:rPr>
        <w:t xml:space="preserve">. Profit for the Period, </w:t>
      </w:r>
      <w:r w:rsidR="00C71F1E" w:rsidRPr="00D11976">
        <w:rPr>
          <w:rFonts w:asciiTheme="minorBidi" w:hAnsiTheme="minorBidi" w:cstheme="minorBidi"/>
          <w:sz w:val="32"/>
          <w:szCs w:val="32"/>
        </w:rPr>
        <w:t>without the severance pay adjustment</w:t>
      </w:r>
      <w:r w:rsidRPr="00D11976">
        <w:rPr>
          <w:rFonts w:asciiTheme="minorBidi" w:hAnsiTheme="minorBidi" w:cstheme="minorBidi"/>
          <w:sz w:val="32"/>
          <w:szCs w:val="32"/>
        </w:rPr>
        <w:t xml:space="preserve">, fell to </w:t>
      </w:r>
      <w:r w:rsidR="00C71F1E" w:rsidRPr="00D11976">
        <w:rPr>
          <w:rFonts w:asciiTheme="minorBidi" w:hAnsiTheme="minorBidi" w:cstheme="minorBidi"/>
          <w:sz w:val="32"/>
          <w:szCs w:val="32"/>
        </w:rPr>
        <w:t>9,079</w:t>
      </w:r>
      <w:r w:rsidRPr="00D11976">
        <w:rPr>
          <w:rFonts w:asciiTheme="minorBidi" w:hAnsiTheme="minorBidi" w:cstheme="minorBidi"/>
          <w:sz w:val="32"/>
          <w:szCs w:val="32"/>
        </w:rPr>
        <w:t xml:space="preserve"> MB or down </w:t>
      </w:r>
      <w:r w:rsidR="00C71F1E" w:rsidRPr="00D11976">
        <w:rPr>
          <w:rFonts w:asciiTheme="minorBidi" w:hAnsiTheme="minorBidi" w:cstheme="minorBidi"/>
          <w:sz w:val="32"/>
          <w:szCs w:val="32"/>
        </w:rPr>
        <w:t>27</w:t>
      </w:r>
      <w:r w:rsidRPr="00D11976">
        <w:rPr>
          <w:rFonts w:asciiTheme="minorBidi" w:hAnsiTheme="minorBidi" w:cstheme="minorBidi"/>
          <w:sz w:val="32"/>
          <w:szCs w:val="32"/>
        </w:rPr>
        <w:t xml:space="preserve">% y-o-y and </w:t>
      </w:r>
      <w:r w:rsidR="004F67B3" w:rsidRPr="00D11976">
        <w:rPr>
          <w:rFonts w:asciiTheme="minorBidi" w:hAnsiTheme="minorBidi" w:cstheme="minorBidi"/>
          <w:sz w:val="32"/>
          <w:szCs w:val="32"/>
        </w:rPr>
        <w:t>22</w:t>
      </w:r>
      <w:r w:rsidRPr="00D11976">
        <w:rPr>
          <w:rFonts w:asciiTheme="minorBidi" w:hAnsiTheme="minorBidi" w:cstheme="minorBidi"/>
          <w:sz w:val="32"/>
          <w:szCs w:val="32"/>
        </w:rPr>
        <w:t xml:space="preserve">% q-o-q in light of </w:t>
      </w:r>
      <w:r w:rsidR="004F67B3" w:rsidRPr="00D11976">
        <w:rPr>
          <w:rFonts w:asciiTheme="minorBidi" w:hAnsiTheme="minorBidi" w:cstheme="minorBidi"/>
          <w:sz w:val="32"/>
          <w:szCs w:val="32"/>
        </w:rPr>
        <w:t xml:space="preserve">the </w:t>
      </w:r>
      <w:r w:rsidRPr="00D11976">
        <w:rPr>
          <w:rFonts w:asciiTheme="minorBidi" w:hAnsiTheme="minorBidi" w:cstheme="minorBidi"/>
          <w:sz w:val="32"/>
          <w:szCs w:val="32"/>
        </w:rPr>
        <w:t xml:space="preserve">trade war </w:t>
      </w:r>
      <w:r w:rsidR="004F67B3" w:rsidRPr="00D11976">
        <w:rPr>
          <w:rFonts w:asciiTheme="minorBidi" w:hAnsiTheme="minorBidi" w:cstheme="minorBidi"/>
          <w:sz w:val="32"/>
          <w:szCs w:val="32"/>
        </w:rPr>
        <w:t>concerns which affected the chemicals</w:t>
      </w:r>
      <w:r w:rsidRPr="00D11976">
        <w:rPr>
          <w:rFonts w:asciiTheme="minorBidi" w:hAnsiTheme="minorBidi" w:cstheme="minorBidi"/>
          <w:sz w:val="32"/>
          <w:szCs w:val="32"/>
        </w:rPr>
        <w:t xml:space="preserve"> margin and inventory </w:t>
      </w:r>
      <w:r w:rsidR="004F67B3" w:rsidRPr="00D11976">
        <w:rPr>
          <w:rFonts w:asciiTheme="minorBidi" w:hAnsiTheme="minorBidi" w:cstheme="minorBidi"/>
          <w:sz w:val="32"/>
          <w:szCs w:val="32"/>
        </w:rPr>
        <w:t>loss</w:t>
      </w:r>
      <w:r w:rsidRPr="00D11976">
        <w:rPr>
          <w:rFonts w:asciiTheme="minorBidi" w:hAnsiTheme="minorBidi" w:cstheme="minorBidi"/>
          <w:sz w:val="32"/>
          <w:szCs w:val="32"/>
        </w:rPr>
        <w:t xml:space="preserve"> of </w:t>
      </w:r>
      <w:r w:rsidR="004F67B3" w:rsidRPr="00D11976">
        <w:rPr>
          <w:rFonts w:asciiTheme="minorBidi" w:hAnsiTheme="minorBidi" w:cstheme="minorBidi"/>
          <w:sz w:val="32"/>
          <w:szCs w:val="32"/>
        </w:rPr>
        <w:t>1,150 MB. Factoring in</w:t>
      </w:r>
      <w:r w:rsidRPr="00D11976">
        <w:rPr>
          <w:rFonts w:asciiTheme="minorBidi" w:hAnsiTheme="minorBidi" w:cstheme="minorBidi"/>
          <w:sz w:val="32"/>
          <w:szCs w:val="32"/>
        </w:rPr>
        <w:t xml:space="preserve"> </w:t>
      </w:r>
      <w:r w:rsidR="004F67B3" w:rsidRPr="00D11976">
        <w:rPr>
          <w:rFonts w:asciiTheme="minorBidi" w:hAnsiTheme="minorBidi" w:cstheme="minorBidi"/>
          <w:sz w:val="32"/>
          <w:szCs w:val="32"/>
        </w:rPr>
        <w:t>the severance pay adjustment</w:t>
      </w:r>
      <w:r w:rsidRPr="00D11976">
        <w:rPr>
          <w:rFonts w:asciiTheme="minorBidi" w:hAnsiTheme="minorBidi" w:cstheme="minorBidi"/>
          <w:sz w:val="32"/>
          <w:szCs w:val="32"/>
        </w:rPr>
        <w:t xml:space="preserve"> of </w:t>
      </w:r>
      <w:r w:rsidR="004F67B3" w:rsidRPr="00D11976">
        <w:rPr>
          <w:rFonts w:asciiTheme="minorBidi" w:hAnsiTheme="minorBidi" w:cstheme="minorBidi"/>
          <w:sz w:val="32"/>
          <w:szCs w:val="32"/>
        </w:rPr>
        <w:t>2,035</w:t>
      </w:r>
      <w:r w:rsidRPr="00D11976">
        <w:rPr>
          <w:rFonts w:asciiTheme="minorBidi" w:hAnsiTheme="minorBidi" w:cstheme="minorBidi"/>
          <w:sz w:val="32"/>
          <w:szCs w:val="32"/>
        </w:rPr>
        <w:t xml:space="preserve"> MB, SCG’s Profit </w:t>
      </w:r>
      <w:r w:rsidR="004F67B3" w:rsidRPr="00D11976">
        <w:rPr>
          <w:rFonts w:asciiTheme="minorBidi" w:hAnsiTheme="minorBidi" w:cstheme="minorBidi"/>
          <w:sz w:val="32"/>
          <w:szCs w:val="32"/>
        </w:rPr>
        <w:t xml:space="preserve">for the Period </w:t>
      </w:r>
      <w:r w:rsidRPr="00D11976">
        <w:rPr>
          <w:rFonts w:asciiTheme="minorBidi" w:hAnsiTheme="minorBidi" w:cstheme="minorBidi"/>
          <w:sz w:val="32"/>
          <w:szCs w:val="32"/>
        </w:rPr>
        <w:t xml:space="preserve">will stand at </w:t>
      </w:r>
      <w:r w:rsidR="004F67B3" w:rsidRPr="00D11976">
        <w:rPr>
          <w:rFonts w:asciiTheme="minorBidi" w:hAnsiTheme="minorBidi" w:cs="Cordia New"/>
          <w:sz w:val="32"/>
          <w:szCs w:val="32"/>
          <w:cs/>
        </w:rPr>
        <w:t>7</w:t>
      </w:r>
      <w:r w:rsidR="004F67B3" w:rsidRPr="00D11976">
        <w:rPr>
          <w:rFonts w:asciiTheme="minorBidi" w:hAnsiTheme="minorBidi" w:cstheme="minorBidi"/>
          <w:sz w:val="32"/>
          <w:szCs w:val="32"/>
        </w:rPr>
        <w:t>,</w:t>
      </w:r>
      <w:r w:rsidR="004F67B3" w:rsidRPr="00D11976">
        <w:rPr>
          <w:rFonts w:asciiTheme="minorBidi" w:hAnsiTheme="minorBidi" w:cs="Cordia New"/>
          <w:sz w:val="32"/>
          <w:szCs w:val="32"/>
          <w:cs/>
        </w:rPr>
        <w:t>044</w:t>
      </w:r>
      <w:r w:rsidR="004F67B3" w:rsidRPr="00D11976">
        <w:rPr>
          <w:rFonts w:asciiTheme="minorBidi" w:hAnsiTheme="minorBidi" w:cs="Cordia New"/>
          <w:sz w:val="32"/>
          <w:szCs w:val="32"/>
        </w:rPr>
        <w:t xml:space="preserve"> </w:t>
      </w:r>
      <w:r w:rsidRPr="00D11976">
        <w:rPr>
          <w:rFonts w:asciiTheme="minorBidi" w:hAnsiTheme="minorBidi" w:cstheme="minorBidi"/>
          <w:sz w:val="32"/>
          <w:szCs w:val="32"/>
        </w:rPr>
        <w:t>MB.</w:t>
      </w:r>
      <w:r w:rsidR="004F67B3" w:rsidRPr="00D11976">
        <w:rPr>
          <w:rFonts w:asciiTheme="minorBidi" w:hAnsiTheme="minorBidi" w:cstheme="minorBidi" w:hint="cs"/>
          <w:sz w:val="32"/>
          <w:szCs w:val="32"/>
          <w:cs/>
        </w:rPr>
        <w:t xml:space="preserve"> </w:t>
      </w:r>
    </w:p>
    <w:p w14:paraId="3D6CDC15" w14:textId="54D817E3" w:rsidR="009831B3" w:rsidRPr="00D11976" w:rsidRDefault="009831B3" w:rsidP="00C101C8">
      <w:pPr>
        <w:ind w:firstLine="720"/>
        <w:jc w:val="thaiDistribute"/>
        <w:rPr>
          <w:rFonts w:asciiTheme="minorBidi" w:hAnsiTheme="minorBidi" w:cstheme="minorBidi"/>
          <w:sz w:val="32"/>
          <w:szCs w:val="32"/>
        </w:rPr>
      </w:pPr>
      <w:r w:rsidRPr="00D11976">
        <w:rPr>
          <w:rFonts w:asciiTheme="minorBidi" w:hAnsiTheme="minorBidi" w:cstheme="minorBidi"/>
          <w:b/>
          <w:bCs/>
          <w:sz w:val="32"/>
          <w:szCs w:val="32"/>
        </w:rPr>
        <w:t>SCG’s Revenue from Sales for the first half of 2019</w:t>
      </w:r>
      <w:r w:rsidRPr="00D11976">
        <w:rPr>
          <w:rFonts w:asciiTheme="minorBidi" w:hAnsiTheme="minorBidi" w:cstheme="minorBidi"/>
          <w:sz w:val="32"/>
          <w:szCs w:val="32"/>
        </w:rPr>
        <w:t xml:space="preserve"> lessened by </w:t>
      </w:r>
      <w:r w:rsidR="004F67B3" w:rsidRPr="00D11976">
        <w:rPr>
          <w:rFonts w:asciiTheme="minorBidi" w:hAnsiTheme="minorBidi" w:cstheme="minorBidi"/>
          <w:sz w:val="32"/>
          <w:szCs w:val="32"/>
        </w:rPr>
        <w:t>7</w:t>
      </w:r>
      <w:r w:rsidRPr="00D11976">
        <w:rPr>
          <w:rFonts w:asciiTheme="minorBidi" w:hAnsiTheme="minorBidi" w:cstheme="minorBidi"/>
          <w:sz w:val="32"/>
          <w:szCs w:val="32"/>
        </w:rPr>
        <w:t xml:space="preserve">% y-o-y to </w:t>
      </w:r>
      <w:r w:rsidR="004F67B3" w:rsidRPr="00D11976">
        <w:rPr>
          <w:rFonts w:asciiTheme="minorBidi" w:hAnsiTheme="minorBidi" w:cstheme="minorBidi"/>
          <w:sz w:val="32"/>
          <w:szCs w:val="32"/>
        </w:rPr>
        <w:t>221,473</w:t>
      </w:r>
      <w:r w:rsidRPr="00D11976">
        <w:rPr>
          <w:rFonts w:asciiTheme="minorBidi" w:hAnsiTheme="minorBidi" w:cstheme="minorBidi"/>
          <w:sz w:val="32"/>
          <w:szCs w:val="32"/>
        </w:rPr>
        <w:t xml:space="preserve"> MB, predominantly due to lower chemicals prices. Profit for the Period</w:t>
      </w:r>
      <w:r w:rsidR="004F67B3" w:rsidRPr="00D11976">
        <w:rPr>
          <w:rFonts w:asciiTheme="minorBidi" w:hAnsiTheme="minorBidi" w:cstheme="minorBidi"/>
          <w:sz w:val="32"/>
          <w:szCs w:val="32"/>
        </w:rPr>
        <w:t xml:space="preserve">, without the severance pay adjustment, </w:t>
      </w:r>
      <w:r w:rsidRPr="00D11976">
        <w:rPr>
          <w:rFonts w:asciiTheme="minorBidi" w:hAnsiTheme="minorBidi" w:cstheme="minorBidi"/>
          <w:sz w:val="32"/>
          <w:szCs w:val="32"/>
        </w:rPr>
        <w:t xml:space="preserve">dipped </w:t>
      </w:r>
      <w:r w:rsidR="004F67B3" w:rsidRPr="00D11976">
        <w:rPr>
          <w:rFonts w:asciiTheme="minorBidi" w:hAnsiTheme="minorBidi" w:cstheme="minorBidi"/>
          <w:sz w:val="32"/>
          <w:szCs w:val="32"/>
        </w:rPr>
        <w:t>16</w:t>
      </w:r>
      <w:r w:rsidRPr="00D11976">
        <w:rPr>
          <w:rFonts w:asciiTheme="minorBidi" w:hAnsiTheme="minorBidi" w:cstheme="minorBidi"/>
          <w:sz w:val="32"/>
          <w:szCs w:val="32"/>
        </w:rPr>
        <w:t xml:space="preserve">% y-o-y to </w:t>
      </w:r>
      <w:r w:rsidR="004F67B3" w:rsidRPr="00D11976">
        <w:rPr>
          <w:rFonts w:asciiTheme="minorBidi" w:hAnsiTheme="minorBidi" w:cstheme="minorBidi"/>
          <w:sz w:val="32"/>
          <w:szCs w:val="32"/>
        </w:rPr>
        <w:t>20,741</w:t>
      </w:r>
      <w:r w:rsidRPr="00D11976">
        <w:rPr>
          <w:rFonts w:asciiTheme="minorBidi" w:hAnsiTheme="minorBidi" w:cstheme="minorBidi"/>
          <w:sz w:val="32"/>
          <w:szCs w:val="32"/>
        </w:rPr>
        <w:t xml:space="preserve"> MB, owing to </w:t>
      </w:r>
      <w:r w:rsidR="004F67B3" w:rsidRPr="00D11976">
        <w:rPr>
          <w:rFonts w:asciiTheme="minorBidi" w:hAnsiTheme="minorBidi" w:cstheme="minorBidi"/>
          <w:sz w:val="32"/>
          <w:szCs w:val="32"/>
        </w:rPr>
        <w:t xml:space="preserve">the drop in </w:t>
      </w:r>
      <w:r w:rsidRPr="00D11976">
        <w:rPr>
          <w:rFonts w:asciiTheme="minorBidi" w:hAnsiTheme="minorBidi" w:cstheme="minorBidi"/>
          <w:sz w:val="32"/>
          <w:szCs w:val="32"/>
        </w:rPr>
        <w:t xml:space="preserve">chemicals </w:t>
      </w:r>
      <w:r w:rsidR="004F67B3" w:rsidRPr="00D11976">
        <w:rPr>
          <w:rFonts w:asciiTheme="minorBidi" w:hAnsiTheme="minorBidi" w:cstheme="minorBidi"/>
          <w:sz w:val="32"/>
          <w:szCs w:val="32"/>
        </w:rPr>
        <w:t xml:space="preserve">margins on global </w:t>
      </w:r>
      <w:r w:rsidRPr="00D11976">
        <w:rPr>
          <w:rFonts w:asciiTheme="minorBidi" w:hAnsiTheme="minorBidi" w:cstheme="minorBidi"/>
          <w:sz w:val="32"/>
          <w:szCs w:val="32"/>
        </w:rPr>
        <w:t>trade war</w:t>
      </w:r>
      <w:r w:rsidR="004F67B3" w:rsidRPr="00D11976">
        <w:rPr>
          <w:rFonts w:asciiTheme="minorBidi" w:hAnsiTheme="minorBidi" w:cstheme="minorBidi"/>
          <w:sz w:val="32"/>
          <w:szCs w:val="32"/>
        </w:rPr>
        <w:t xml:space="preserve"> concerns</w:t>
      </w:r>
      <w:r w:rsidRPr="00D11976">
        <w:rPr>
          <w:rFonts w:asciiTheme="minorBidi" w:hAnsiTheme="minorBidi" w:cstheme="minorBidi"/>
          <w:sz w:val="32"/>
          <w:szCs w:val="32"/>
        </w:rPr>
        <w:t>. However, Cement-Building Materials Business recorded higher revenues thanks to regional construction sector recovery.</w:t>
      </w:r>
      <w:r w:rsidR="000C1DE5" w:rsidRPr="00D11976">
        <w:rPr>
          <w:rFonts w:asciiTheme="minorBidi" w:hAnsiTheme="minorBidi" w:cstheme="minorBidi"/>
          <w:sz w:val="32"/>
          <w:szCs w:val="32"/>
        </w:rPr>
        <w:t xml:space="preserve"> Factoring in the severance pay adjustment, SCG’s Profit for the Period will stand at 18,706 MB.</w:t>
      </w:r>
    </w:p>
    <w:p w14:paraId="1443D4FE" w14:textId="61F843AB" w:rsidR="009831B3" w:rsidRPr="00D11976" w:rsidRDefault="009831B3" w:rsidP="00C101C8">
      <w:pPr>
        <w:ind w:firstLine="720"/>
        <w:jc w:val="thaiDistribute"/>
        <w:rPr>
          <w:rFonts w:asciiTheme="minorBidi" w:hAnsiTheme="minorBidi" w:cstheme="minorBidi"/>
          <w:sz w:val="32"/>
          <w:szCs w:val="32"/>
        </w:rPr>
      </w:pPr>
      <w:r w:rsidRPr="00D11976">
        <w:rPr>
          <w:rFonts w:asciiTheme="minorBidi" w:hAnsiTheme="minorBidi" w:cstheme="minorBidi"/>
          <w:b/>
          <w:bCs/>
          <w:sz w:val="32"/>
          <w:szCs w:val="32"/>
        </w:rPr>
        <w:t xml:space="preserve">SCG’s Revenue </w:t>
      </w:r>
      <w:r w:rsidR="000C1DE5" w:rsidRPr="00D11976">
        <w:rPr>
          <w:rFonts w:asciiTheme="minorBidi" w:hAnsiTheme="minorBidi" w:cstheme="minorBidi"/>
          <w:b/>
          <w:bCs/>
          <w:sz w:val="32"/>
          <w:szCs w:val="32"/>
        </w:rPr>
        <w:t xml:space="preserve">from Sales </w:t>
      </w:r>
      <w:r w:rsidRPr="00D11976">
        <w:rPr>
          <w:rFonts w:asciiTheme="minorBidi" w:hAnsiTheme="minorBidi" w:cstheme="minorBidi"/>
          <w:b/>
          <w:bCs/>
          <w:sz w:val="32"/>
          <w:szCs w:val="32"/>
        </w:rPr>
        <w:t>of High Value Added Products &amp; Services (HVA)</w:t>
      </w:r>
      <w:r w:rsidRPr="00D11976">
        <w:rPr>
          <w:rFonts w:asciiTheme="minorBidi" w:hAnsiTheme="minorBidi" w:cstheme="minorBidi"/>
          <w:sz w:val="32"/>
          <w:szCs w:val="32"/>
        </w:rPr>
        <w:t xml:space="preserve"> for Q2/2019 reached </w:t>
      </w:r>
      <w:r w:rsidR="000C1DE5" w:rsidRPr="00D11976">
        <w:rPr>
          <w:rFonts w:asciiTheme="minorBidi" w:hAnsiTheme="minorBidi" w:cstheme="minorBidi"/>
          <w:sz w:val="32"/>
          <w:szCs w:val="32"/>
        </w:rPr>
        <w:t>47,164</w:t>
      </w:r>
      <w:r w:rsidRPr="00D11976">
        <w:rPr>
          <w:rFonts w:asciiTheme="minorBidi" w:hAnsiTheme="minorBidi" w:cstheme="minorBidi"/>
          <w:sz w:val="32"/>
          <w:szCs w:val="32"/>
        </w:rPr>
        <w:t xml:space="preserve"> MB or </w:t>
      </w:r>
      <w:r w:rsidR="000C1DE5" w:rsidRPr="00D11976">
        <w:rPr>
          <w:rFonts w:asciiTheme="minorBidi" w:hAnsiTheme="minorBidi" w:cstheme="minorBidi"/>
          <w:sz w:val="32"/>
          <w:szCs w:val="32"/>
        </w:rPr>
        <w:t>43</w:t>
      </w:r>
      <w:r w:rsidRPr="00D11976">
        <w:rPr>
          <w:rFonts w:asciiTheme="minorBidi" w:hAnsiTheme="minorBidi" w:cstheme="minorBidi"/>
          <w:sz w:val="32"/>
          <w:szCs w:val="32"/>
        </w:rPr>
        <w:t xml:space="preserve">% of total Revenue </w:t>
      </w:r>
      <w:r w:rsidR="000C1DE5" w:rsidRPr="00D11976">
        <w:rPr>
          <w:rFonts w:asciiTheme="minorBidi" w:hAnsiTheme="minorBidi" w:cstheme="minorBidi"/>
          <w:sz w:val="32"/>
          <w:szCs w:val="32"/>
        </w:rPr>
        <w:t>from</w:t>
      </w:r>
      <w:r w:rsidRPr="00D11976">
        <w:rPr>
          <w:rFonts w:asciiTheme="minorBidi" w:hAnsiTheme="minorBidi" w:cstheme="minorBidi"/>
          <w:sz w:val="32"/>
          <w:szCs w:val="32"/>
        </w:rPr>
        <w:t xml:space="preserve"> Sales, representing an increase of </w:t>
      </w:r>
      <w:r w:rsidR="000C1DE5" w:rsidRPr="00D11976">
        <w:rPr>
          <w:rFonts w:asciiTheme="minorBidi" w:hAnsiTheme="minorBidi" w:cstheme="minorBidi"/>
          <w:sz w:val="32"/>
          <w:szCs w:val="32"/>
        </w:rPr>
        <w:t>4</w:t>
      </w:r>
      <w:r w:rsidRPr="00D11976">
        <w:rPr>
          <w:rFonts w:asciiTheme="minorBidi" w:hAnsiTheme="minorBidi" w:cstheme="minorBidi"/>
          <w:sz w:val="32"/>
          <w:szCs w:val="32"/>
        </w:rPr>
        <w:t xml:space="preserve">% y-o-y and </w:t>
      </w:r>
      <w:r w:rsidR="000C1DE5" w:rsidRPr="00D11976">
        <w:rPr>
          <w:rFonts w:asciiTheme="minorBidi" w:hAnsiTheme="minorBidi" w:cstheme="minorBidi"/>
          <w:sz w:val="32"/>
          <w:szCs w:val="32"/>
        </w:rPr>
        <w:t>4</w:t>
      </w:r>
      <w:r w:rsidRPr="00D11976">
        <w:rPr>
          <w:rFonts w:asciiTheme="minorBidi" w:hAnsiTheme="minorBidi" w:cstheme="minorBidi"/>
          <w:sz w:val="32"/>
          <w:szCs w:val="32"/>
        </w:rPr>
        <w:t xml:space="preserve">% q-o-q. As a result, the Revenue from Sales of HVA products for the first half of 2019 amounted to </w:t>
      </w:r>
      <w:r w:rsidR="0049640A" w:rsidRPr="00D11976">
        <w:rPr>
          <w:rFonts w:asciiTheme="minorBidi" w:hAnsiTheme="minorBidi" w:cstheme="minorBidi"/>
          <w:sz w:val="32"/>
          <w:szCs w:val="32"/>
        </w:rPr>
        <w:t>92,628</w:t>
      </w:r>
      <w:r w:rsidRPr="00D11976">
        <w:rPr>
          <w:rFonts w:asciiTheme="minorBidi" w:hAnsiTheme="minorBidi" w:cstheme="minorBidi"/>
          <w:sz w:val="32"/>
          <w:szCs w:val="32"/>
        </w:rPr>
        <w:t xml:space="preserve"> MB or </w:t>
      </w:r>
      <w:r w:rsidR="0049640A" w:rsidRPr="00D11976">
        <w:rPr>
          <w:rFonts w:asciiTheme="minorBidi" w:hAnsiTheme="minorBidi" w:cstheme="minorBidi"/>
          <w:sz w:val="32"/>
          <w:szCs w:val="32"/>
        </w:rPr>
        <w:t>42</w:t>
      </w:r>
      <w:r w:rsidRPr="00D11976">
        <w:rPr>
          <w:rFonts w:asciiTheme="minorBidi" w:hAnsiTheme="minorBidi" w:cstheme="minorBidi"/>
          <w:sz w:val="32"/>
          <w:szCs w:val="32"/>
        </w:rPr>
        <w:t xml:space="preserve">% of total Revenue </w:t>
      </w:r>
      <w:r w:rsidR="0049640A" w:rsidRPr="00D11976">
        <w:rPr>
          <w:rFonts w:asciiTheme="minorBidi" w:hAnsiTheme="minorBidi" w:cstheme="minorBidi"/>
          <w:sz w:val="32"/>
          <w:szCs w:val="32"/>
        </w:rPr>
        <w:t>from</w:t>
      </w:r>
      <w:r w:rsidRPr="00D11976">
        <w:rPr>
          <w:rFonts w:asciiTheme="minorBidi" w:hAnsiTheme="minorBidi" w:cstheme="minorBidi"/>
          <w:sz w:val="32"/>
          <w:szCs w:val="32"/>
        </w:rPr>
        <w:t xml:space="preserve"> Sales, increasing </w:t>
      </w:r>
      <w:r w:rsidR="0049640A" w:rsidRPr="00D11976">
        <w:rPr>
          <w:rFonts w:asciiTheme="minorBidi" w:hAnsiTheme="minorBidi" w:cstheme="minorBidi"/>
          <w:sz w:val="32"/>
          <w:szCs w:val="32"/>
        </w:rPr>
        <w:t>2</w:t>
      </w:r>
      <w:r w:rsidRPr="00D11976">
        <w:rPr>
          <w:rFonts w:asciiTheme="minorBidi" w:hAnsiTheme="minorBidi" w:cstheme="minorBidi"/>
          <w:sz w:val="32"/>
          <w:szCs w:val="32"/>
        </w:rPr>
        <w:t>% y-o-y.</w:t>
      </w:r>
    </w:p>
    <w:p w14:paraId="094ED311" w14:textId="7B8C752E" w:rsidR="009831B3" w:rsidRPr="00D11976" w:rsidRDefault="009831B3" w:rsidP="00C101C8">
      <w:pPr>
        <w:ind w:firstLine="720"/>
        <w:jc w:val="thaiDistribute"/>
        <w:rPr>
          <w:rFonts w:asciiTheme="minorBidi" w:hAnsiTheme="minorBidi" w:cstheme="minorBidi"/>
          <w:sz w:val="32"/>
          <w:szCs w:val="32"/>
        </w:rPr>
      </w:pPr>
      <w:r w:rsidRPr="00D11976">
        <w:rPr>
          <w:rFonts w:asciiTheme="minorBidi" w:hAnsiTheme="minorBidi" w:cstheme="minorBidi"/>
          <w:sz w:val="32"/>
          <w:szCs w:val="32"/>
        </w:rPr>
        <w:t xml:space="preserve">Besides, SCG’s </w:t>
      </w:r>
      <w:r w:rsidRPr="00D11976">
        <w:rPr>
          <w:rFonts w:asciiTheme="minorBidi" w:hAnsiTheme="minorBidi" w:cstheme="minorBidi"/>
          <w:b/>
          <w:bCs/>
          <w:sz w:val="32"/>
          <w:szCs w:val="32"/>
        </w:rPr>
        <w:t xml:space="preserve">Revenue from </w:t>
      </w:r>
      <w:r w:rsidR="0049640A" w:rsidRPr="00D11976">
        <w:rPr>
          <w:rFonts w:asciiTheme="minorBidi" w:hAnsiTheme="minorBidi" w:cstheme="minorBidi"/>
          <w:b/>
          <w:bCs/>
          <w:sz w:val="32"/>
          <w:szCs w:val="32"/>
        </w:rPr>
        <w:t>performance businesses outside of Thailand including with export s</w:t>
      </w:r>
      <w:r w:rsidRPr="00D11976">
        <w:rPr>
          <w:rFonts w:asciiTheme="minorBidi" w:hAnsiTheme="minorBidi" w:cstheme="minorBidi"/>
          <w:b/>
          <w:bCs/>
          <w:sz w:val="32"/>
          <w:szCs w:val="32"/>
        </w:rPr>
        <w:t>ales</w:t>
      </w:r>
      <w:r w:rsidR="0049640A" w:rsidRPr="00D11976">
        <w:rPr>
          <w:rFonts w:asciiTheme="minorBidi" w:hAnsiTheme="minorBidi" w:cstheme="minorBidi"/>
          <w:sz w:val="32"/>
          <w:szCs w:val="32"/>
        </w:rPr>
        <w:t xml:space="preserve"> </w:t>
      </w:r>
      <w:r w:rsidR="0049640A" w:rsidRPr="00D11976">
        <w:rPr>
          <w:rFonts w:asciiTheme="minorBidi" w:hAnsiTheme="minorBidi" w:cstheme="minorBidi"/>
          <w:b/>
          <w:bCs/>
          <w:sz w:val="32"/>
          <w:szCs w:val="32"/>
        </w:rPr>
        <w:t>from Thailand</w:t>
      </w:r>
      <w:r w:rsidRPr="00D11976">
        <w:rPr>
          <w:rFonts w:asciiTheme="minorBidi" w:hAnsiTheme="minorBidi" w:cstheme="minorBidi"/>
          <w:b/>
          <w:bCs/>
          <w:sz w:val="32"/>
          <w:szCs w:val="32"/>
        </w:rPr>
        <w:t xml:space="preserve"> </w:t>
      </w:r>
      <w:r w:rsidRPr="00D11976">
        <w:rPr>
          <w:rFonts w:asciiTheme="minorBidi" w:hAnsiTheme="minorBidi" w:cstheme="minorBidi"/>
          <w:sz w:val="32"/>
          <w:szCs w:val="32"/>
        </w:rPr>
        <w:t xml:space="preserve">for H1/2019 registered </w:t>
      </w:r>
      <w:r w:rsidR="0049640A" w:rsidRPr="00D11976">
        <w:rPr>
          <w:rFonts w:asciiTheme="minorBidi" w:hAnsiTheme="minorBidi" w:cstheme="minorBidi"/>
          <w:sz w:val="32"/>
          <w:szCs w:val="32"/>
        </w:rPr>
        <w:t>88,825</w:t>
      </w:r>
      <w:r w:rsidRPr="00D11976">
        <w:rPr>
          <w:rFonts w:asciiTheme="minorBidi" w:hAnsiTheme="minorBidi" w:cstheme="minorBidi"/>
          <w:sz w:val="32"/>
          <w:szCs w:val="32"/>
        </w:rPr>
        <w:t xml:space="preserve"> MB or </w:t>
      </w:r>
      <w:r w:rsidR="0049640A" w:rsidRPr="00D11976">
        <w:rPr>
          <w:rFonts w:asciiTheme="minorBidi" w:hAnsiTheme="minorBidi" w:cstheme="minorBidi"/>
          <w:sz w:val="32"/>
          <w:szCs w:val="32"/>
        </w:rPr>
        <w:t>40</w:t>
      </w:r>
      <w:r w:rsidRPr="00D11976">
        <w:rPr>
          <w:rFonts w:asciiTheme="minorBidi" w:hAnsiTheme="minorBidi" w:cstheme="minorBidi"/>
          <w:sz w:val="32"/>
          <w:szCs w:val="32"/>
        </w:rPr>
        <w:t xml:space="preserve">% of total Revenue from Sales, a dip of </w:t>
      </w:r>
      <w:r w:rsidR="0049640A" w:rsidRPr="00D11976">
        <w:rPr>
          <w:rFonts w:asciiTheme="minorBidi" w:hAnsiTheme="minorBidi" w:cstheme="minorBidi"/>
          <w:sz w:val="32"/>
          <w:szCs w:val="32"/>
        </w:rPr>
        <w:t>11</w:t>
      </w:r>
      <w:r w:rsidRPr="00D11976">
        <w:rPr>
          <w:rFonts w:asciiTheme="minorBidi" w:hAnsiTheme="minorBidi" w:cstheme="minorBidi"/>
          <w:sz w:val="32"/>
          <w:szCs w:val="32"/>
        </w:rPr>
        <w:t>% y-o-y.</w:t>
      </w:r>
    </w:p>
    <w:p w14:paraId="260870F8" w14:textId="21D6E932" w:rsidR="009831B3" w:rsidRPr="00D11976" w:rsidRDefault="009831B3" w:rsidP="009C5622">
      <w:pPr>
        <w:ind w:firstLine="720"/>
        <w:jc w:val="thaiDistribute"/>
        <w:rPr>
          <w:rFonts w:asciiTheme="minorBidi" w:hAnsiTheme="minorBidi" w:cstheme="minorBidi"/>
          <w:b/>
          <w:bCs/>
          <w:sz w:val="32"/>
          <w:szCs w:val="32"/>
        </w:rPr>
      </w:pPr>
      <w:r w:rsidRPr="00D11976">
        <w:rPr>
          <w:rFonts w:asciiTheme="minorBidi" w:hAnsiTheme="minorBidi" w:cstheme="minorBidi"/>
          <w:b/>
          <w:bCs/>
          <w:sz w:val="32"/>
          <w:szCs w:val="32"/>
        </w:rPr>
        <w:t xml:space="preserve">The total assets of SCG, as of June 30, 2019, amounted to </w:t>
      </w:r>
      <w:r w:rsidR="0049640A" w:rsidRPr="00D11976">
        <w:rPr>
          <w:rFonts w:asciiTheme="minorBidi" w:hAnsiTheme="minorBidi" w:cstheme="minorBidi"/>
          <w:b/>
          <w:bCs/>
          <w:sz w:val="32"/>
          <w:szCs w:val="32"/>
        </w:rPr>
        <w:t>618,591</w:t>
      </w:r>
      <w:r w:rsidRPr="00D11976">
        <w:rPr>
          <w:rFonts w:asciiTheme="minorBidi" w:hAnsiTheme="minorBidi" w:cstheme="minorBidi"/>
          <w:b/>
          <w:bCs/>
          <w:sz w:val="32"/>
          <w:szCs w:val="32"/>
        </w:rPr>
        <w:t xml:space="preserve"> MB, while </w:t>
      </w:r>
      <w:r w:rsidR="0049640A" w:rsidRPr="00D11976">
        <w:rPr>
          <w:rFonts w:asciiTheme="minorBidi" w:hAnsiTheme="minorBidi" w:cstheme="minorBidi"/>
          <w:b/>
          <w:bCs/>
          <w:sz w:val="32"/>
          <w:szCs w:val="32"/>
        </w:rPr>
        <w:t>33</w:t>
      </w:r>
      <w:r w:rsidRPr="00D11976">
        <w:rPr>
          <w:rFonts w:asciiTheme="minorBidi" w:hAnsiTheme="minorBidi" w:cstheme="minorBidi"/>
          <w:b/>
          <w:bCs/>
          <w:sz w:val="32"/>
          <w:szCs w:val="32"/>
        </w:rPr>
        <w:t>% represented assets in ASEAN.</w:t>
      </w:r>
    </w:p>
    <w:p w14:paraId="2CE2AB2B" w14:textId="77777777" w:rsidR="009831B3" w:rsidRPr="00D11976" w:rsidRDefault="009831B3" w:rsidP="009C5622">
      <w:pPr>
        <w:ind w:firstLine="720"/>
        <w:jc w:val="thaiDistribute"/>
        <w:rPr>
          <w:rFonts w:asciiTheme="minorBidi" w:hAnsiTheme="minorBidi" w:cstheme="minorBidi"/>
          <w:b/>
          <w:bCs/>
          <w:sz w:val="32"/>
          <w:szCs w:val="32"/>
        </w:rPr>
      </w:pPr>
      <w:r w:rsidRPr="00D11976">
        <w:rPr>
          <w:rFonts w:asciiTheme="minorBidi" w:hAnsiTheme="minorBidi" w:cstheme="minorBidi"/>
          <w:b/>
          <w:bCs/>
          <w:sz w:val="32"/>
          <w:szCs w:val="32"/>
        </w:rPr>
        <w:t>The Q2 and first half of 2019 operating results by business units are as follows:</w:t>
      </w:r>
    </w:p>
    <w:p w14:paraId="2C48A9D7" w14:textId="35B3927C" w:rsidR="009C5622"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b/>
          <w:bCs/>
          <w:sz w:val="32"/>
          <w:szCs w:val="32"/>
        </w:rPr>
        <w:lastRenderedPageBreak/>
        <w:t>Chemicals Business</w:t>
      </w:r>
      <w:r w:rsidRPr="00D11976">
        <w:rPr>
          <w:rFonts w:asciiTheme="minorBidi" w:hAnsiTheme="minorBidi" w:cstheme="minorBidi"/>
          <w:sz w:val="32"/>
          <w:szCs w:val="32"/>
        </w:rPr>
        <w:t xml:space="preserve"> </w:t>
      </w:r>
      <w:r w:rsidR="0049640A" w:rsidRPr="00D11976">
        <w:rPr>
          <w:rFonts w:asciiTheme="minorBidi" w:hAnsiTheme="minorBidi" w:cstheme="minorBidi"/>
          <w:sz w:val="32"/>
          <w:szCs w:val="32"/>
        </w:rPr>
        <w:t>was</w:t>
      </w:r>
      <w:r w:rsidR="00812EDB" w:rsidRPr="00D11976">
        <w:rPr>
          <w:rFonts w:asciiTheme="minorBidi" w:hAnsiTheme="minorBidi" w:cstheme="minorBidi"/>
          <w:sz w:val="32"/>
          <w:szCs w:val="32"/>
        </w:rPr>
        <w:t xml:space="preserve"> </w:t>
      </w:r>
      <w:r w:rsidR="0049640A" w:rsidRPr="00D11976">
        <w:rPr>
          <w:rFonts w:asciiTheme="minorBidi" w:hAnsiTheme="minorBidi" w:cstheme="minorBidi"/>
          <w:sz w:val="32"/>
          <w:szCs w:val="32"/>
        </w:rPr>
        <w:t>affected by l</w:t>
      </w:r>
      <w:r w:rsidR="00D813F1" w:rsidRPr="00D11976">
        <w:rPr>
          <w:rFonts w:asciiTheme="minorBidi" w:hAnsiTheme="minorBidi" w:cstheme="minorBidi"/>
          <w:sz w:val="32"/>
          <w:szCs w:val="32"/>
        </w:rPr>
        <w:t xml:space="preserve">ower product margins </w:t>
      </w:r>
      <w:r w:rsidR="0049640A" w:rsidRPr="00D11976">
        <w:rPr>
          <w:rFonts w:asciiTheme="minorBidi" w:hAnsiTheme="minorBidi" w:cstheme="minorBidi"/>
          <w:sz w:val="32"/>
          <w:szCs w:val="32"/>
        </w:rPr>
        <w:t xml:space="preserve">caused by the trade war </w:t>
      </w:r>
      <w:r w:rsidR="00D813F1" w:rsidRPr="00D11976">
        <w:rPr>
          <w:rFonts w:asciiTheme="minorBidi" w:hAnsiTheme="minorBidi" w:cstheme="minorBidi"/>
          <w:sz w:val="32"/>
          <w:szCs w:val="32"/>
        </w:rPr>
        <w:t xml:space="preserve">concerns </w:t>
      </w:r>
      <w:r w:rsidR="00B07442" w:rsidRPr="00D11976">
        <w:rPr>
          <w:rFonts w:asciiTheme="minorBidi" w:hAnsiTheme="minorBidi" w:cstheme="minorBidi"/>
          <w:sz w:val="32"/>
          <w:szCs w:val="32"/>
        </w:rPr>
        <w:t>and Thai B</w:t>
      </w:r>
      <w:r w:rsidR="0049640A" w:rsidRPr="00D11976">
        <w:rPr>
          <w:rFonts w:asciiTheme="minorBidi" w:hAnsiTheme="minorBidi" w:cstheme="minorBidi"/>
          <w:sz w:val="32"/>
          <w:szCs w:val="32"/>
        </w:rPr>
        <w:t xml:space="preserve">aht appreciation combined with inventory </w:t>
      </w:r>
      <w:r w:rsidR="00D813F1" w:rsidRPr="00D11976">
        <w:rPr>
          <w:rFonts w:asciiTheme="minorBidi" w:hAnsiTheme="minorBidi" w:cstheme="minorBidi"/>
          <w:sz w:val="32"/>
          <w:szCs w:val="32"/>
        </w:rPr>
        <w:t>loss</w:t>
      </w:r>
      <w:r w:rsidR="0049640A" w:rsidRPr="00D11976">
        <w:rPr>
          <w:rFonts w:asciiTheme="minorBidi" w:hAnsiTheme="minorBidi" w:cstheme="minorBidi"/>
          <w:sz w:val="32"/>
          <w:szCs w:val="32"/>
        </w:rPr>
        <w:t xml:space="preserve">. </w:t>
      </w:r>
      <w:r w:rsidRPr="00D11976">
        <w:rPr>
          <w:rFonts w:asciiTheme="minorBidi" w:hAnsiTheme="minorBidi" w:cstheme="minorBidi"/>
          <w:sz w:val="32"/>
          <w:szCs w:val="32"/>
        </w:rPr>
        <w:t xml:space="preserve">Q2/2019 Revenue from Sales </w:t>
      </w:r>
      <w:r w:rsidR="00FA6F2E" w:rsidRPr="00D11976">
        <w:rPr>
          <w:rFonts w:asciiTheme="minorBidi" w:hAnsiTheme="minorBidi" w:cstheme="minorBidi"/>
          <w:sz w:val="32"/>
          <w:szCs w:val="32"/>
        </w:rPr>
        <w:t>amounted to</w:t>
      </w:r>
      <w:r w:rsidRPr="00D11976">
        <w:rPr>
          <w:rFonts w:asciiTheme="minorBidi" w:hAnsiTheme="minorBidi" w:cstheme="minorBidi"/>
          <w:sz w:val="32"/>
          <w:szCs w:val="32"/>
        </w:rPr>
        <w:t xml:space="preserve"> </w:t>
      </w:r>
      <w:r w:rsidR="005D02F8" w:rsidRPr="00D11976">
        <w:rPr>
          <w:rFonts w:asciiTheme="minorBidi" w:hAnsiTheme="minorBidi" w:cstheme="minorBidi"/>
          <w:sz w:val="32"/>
          <w:szCs w:val="32"/>
        </w:rPr>
        <w:t>45,995</w:t>
      </w:r>
      <w:r w:rsidRPr="00D11976">
        <w:rPr>
          <w:rFonts w:asciiTheme="minorBidi" w:hAnsiTheme="minorBidi" w:cstheme="minorBidi"/>
          <w:sz w:val="32"/>
          <w:szCs w:val="32"/>
        </w:rPr>
        <w:t xml:space="preserve"> MB, a decrease of </w:t>
      </w:r>
      <w:r w:rsidR="005D02F8" w:rsidRPr="00D11976">
        <w:rPr>
          <w:rFonts w:asciiTheme="minorBidi" w:hAnsiTheme="minorBidi" w:cstheme="minorBidi"/>
          <w:sz w:val="32"/>
          <w:szCs w:val="32"/>
        </w:rPr>
        <w:t>19</w:t>
      </w:r>
      <w:r w:rsidRPr="00D11976">
        <w:rPr>
          <w:rFonts w:asciiTheme="minorBidi" w:hAnsiTheme="minorBidi" w:cstheme="minorBidi"/>
          <w:sz w:val="32"/>
          <w:szCs w:val="32"/>
        </w:rPr>
        <w:t xml:space="preserve">% y-o-y and </w:t>
      </w:r>
      <w:r w:rsidR="005D02F8" w:rsidRPr="00D11976">
        <w:rPr>
          <w:rFonts w:asciiTheme="minorBidi" w:hAnsiTheme="minorBidi" w:cstheme="minorBidi"/>
          <w:sz w:val="32"/>
          <w:szCs w:val="32"/>
        </w:rPr>
        <w:t>1</w:t>
      </w:r>
      <w:r w:rsidRPr="00D11976">
        <w:rPr>
          <w:rFonts w:asciiTheme="minorBidi" w:hAnsiTheme="minorBidi" w:cstheme="minorBidi"/>
          <w:sz w:val="32"/>
          <w:szCs w:val="32"/>
        </w:rPr>
        <w:t>% q-o-q</w:t>
      </w:r>
      <w:r w:rsidR="005D02F8" w:rsidRPr="00D11976">
        <w:rPr>
          <w:rFonts w:asciiTheme="minorBidi" w:hAnsiTheme="minorBidi" w:cstheme="minorBidi"/>
          <w:sz w:val="32"/>
          <w:szCs w:val="32"/>
        </w:rPr>
        <w:t>. Profit for the Period, without the severance pay adjustment,</w:t>
      </w:r>
      <w:r w:rsidRPr="00D11976">
        <w:rPr>
          <w:rFonts w:asciiTheme="minorBidi" w:hAnsiTheme="minorBidi" w:cstheme="minorBidi"/>
          <w:sz w:val="32"/>
          <w:szCs w:val="32"/>
        </w:rPr>
        <w:t xml:space="preserve"> dropped by </w:t>
      </w:r>
      <w:r w:rsidR="005D02F8" w:rsidRPr="00D11976">
        <w:rPr>
          <w:rFonts w:asciiTheme="minorBidi" w:hAnsiTheme="minorBidi" w:cstheme="minorBidi"/>
          <w:sz w:val="32"/>
          <w:szCs w:val="32"/>
        </w:rPr>
        <w:t>46</w:t>
      </w:r>
      <w:r w:rsidRPr="00D11976">
        <w:rPr>
          <w:rFonts w:asciiTheme="minorBidi" w:hAnsiTheme="minorBidi" w:cstheme="minorBidi"/>
          <w:sz w:val="32"/>
          <w:szCs w:val="32"/>
        </w:rPr>
        <w:t xml:space="preserve">% y-o-y and </w:t>
      </w:r>
      <w:r w:rsidR="00F474F1" w:rsidRPr="00D11976">
        <w:rPr>
          <w:rFonts w:asciiTheme="minorBidi" w:hAnsiTheme="minorBidi" w:cstheme="minorBidi"/>
          <w:sz w:val="32"/>
          <w:szCs w:val="32"/>
        </w:rPr>
        <w:t>28</w:t>
      </w:r>
      <w:r w:rsidRPr="00D11976">
        <w:rPr>
          <w:rFonts w:asciiTheme="minorBidi" w:hAnsiTheme="minorBidi" w:cstheme="minorBidi"/>
          <w:sz w:val="32"/>
          <w:szCs w:val="32"/>
        </w:rPr>
        <w:t xml:space="preserve">% q-o-q to </w:t>
      </w:r>
      <w:r w:rsidR="005D02F8" w:rsidRPr="00D11976">
        <w:rPr>
          <w:rFonts w:asciiTheme="minorBidi" w:hAnsiTheme="minorBidi" w:cstheme="minorBidi"/>
          <w:sz w:val="32"/>
          <w:szCs w:val="32"/>
        </w:rPr>
        <w:t>4,424</w:t>
      </w:r>
      <w:r w:rsidRPr="00D11976">
        <w:rPr>
          <w:rFonts w:asciiTheme="minorBidi" w:hAnsiTheme="minorBidi" w:cstheme="minorBidi"/>
          <w:sz w:val="32"/>
          <w:szCs w:val="32"/>
        </w:rPr>
        <w:t xml:space="preserve"> MB. </w:t>
      </w:r>
      <w:r w:rsidR="00F474F1" w:rsidRPr="00D11976">
        <w:rPr>
          <w:rFonts w:asciiTheme="minorBidi" w:hAnsiTheme="minorBidi" w:cstheme="minorBidi"/>
          <w:sz w:val="32"/>
          <w:szCs w:val="32"/>
        </w:rPr>
        <w:t>Factoring in the severance pay adjustment of</w:t>
      </w:r>
      <w:r w:rsidRPr="00D11976">
        <w:rPr>
          <w:rFonts w:asciiTheme="minorBidi" w:hAnsiTheme="minorBidi" w:cstheme="minorBidi"/>
          <w:sz w:val="32"/>
          <w:szCs w:val="32"/>
        </w:rPr>
        <w:t xml:space="preserve"> </w:t>
      </w:r>
      <w:r w:rsidR="00F474F1" w:rsidRPr="00D11976">
        <w:rPr>
          <w:rFonts w:asciiTheme="minorBidi" w:hAnsiTheme="minorBidi" w:cstheme="minorBidi"/>
          <w:sz w:val="32"/>
          <w:szCs w:val="32"/>
        </w:rPr>
        <w:t xml:space="preserve">482 </w:t>
      </w:r>
      <w:r w:rsidRPr="00D11976">
        <w:rPr>
          <w:rFonts w:asciiTheme="minorBidi" w:hAnsiTheme="minorBidi" w:cstheme="minorBidi"/>
          <w:sz w:val="32"/>
          <w:szCs w:val="32"/>
        </w:rPr>
        <w:t>MB, Chemicals Business</w:t>
      </w:r>
      <w:r w:rsidR="00F474F1" w:rsidRPr="00D11976">
        <w:rPr>
          <w:rFonts w:asciiTheme="minorBidi" w:hAnsiTheme="minorBidi" w:cstheme="minorBidi"/>
          <w:sz w:val="32"/>
          <w:szCs w:val="32"/>
        </w:rPr>
        <w:t>’ Profit for the Period will stand at 3,942 MB.</w:t>
      </w:r>
    </w:p>
    <w:p w14:paraId="0ECD58A1" w14:textId="5CB704DF"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rPr>
        <w:t>As a result, H1/2019’s Re</w:t>
      </w:r>
      <w:r w:rsidR="005D02F8" w:rsidRPr="00D11976">
        <w:rPr>
          <w:rFonts w:asciiTheme="minorBidi" w:hAnsiTheme="minorBidi" w:cstheme="minorBidi"/>
          <w:sz w:val="32"/>
          <w:szCs w:val="32"/>
        </w:rPr>
        <w:t xml:space="preserve">venue from Sales fell to </w:t>
      </w:r>
      <w:r w:rsidR="00F474F1" w:rsidRPr="00D11976">
        <w:rPr>
          <w:rFonts w:asciiTheme="minorBidi" w:hAnsiTheme="minorBidi" w:cstheme="minorBidi"/>
          <w:sz w:val="32"/>
          <w:szCs w:val="32"/>
        </w:rPr>
        <w:t>92,235</w:t>
      </w:r>
      <w:r w:rsidR="005D02F8" w:rsidRPr="00D11976">
        <w:rPr>
          <w:rFonts w:asciiTheme="minorBidi" w:hAnsiTheme="minorBidi" w:cstheme="minorBidi"/>
          <w:sz w:val="32"/>
          <w:szCs w:val="32"/>
        </w:rPr>
        <w:t xml:space="preserve"> MB </w:t>
      </w:r>
      <w:r w:rsidRPr="00D11976">
        <w:rPr>
          <w:rFonts w:asciiTheme="minorBidi" w:hAnsiTheme="minorBidi" w:cstheme="minorBidi"/>
          <w:sz w:val="32"/>
          <w:szCs w:val="32"/>
        </w:rPr>
        <w:t xml:space="preserve">or dropped </w:t>
      </w:r>
      <w:r w:rsidR="00F474F1" w:rsidRPr="00D11976">
        <w:rPr>
          <w:rFonts w:asciiTheme="minorBidi" w:hAnsiTheme="minorBidi" w:cstheme="minorBidi"/>
          <w:sz w:val="32"/>
          <w:szCs w:val="32"/>
        </w:rPr>
        <w:t>16</w:t>
      </w:r>
      <w:r w:rsidRPr="00D11976">
        <w:rPr>
          <w:rFonts w:asciiTheme="minorBidi" w:hAnsiTheme="minorBidi" w:cstheme="minorBidi"/>
          <w:sz w:val="32"/>
          <w:szCs w:val="32"/>
        </w:rPr>
        <w:t xml:space="preserve">% </w:t>
      </w:r>
      <w:r w:rsidR="00F474F1" w:rsidRPr="00D11976">
        <w:rPr>
          <w:rFonts w:asciiTheme="minorBidi" w:hAnsiTheme="minorBidi" w:cstheme="minorBidi"/>
          <w:sz w:val="32"/>
          <w:szCs w:val="32"/>
        </w:rPr>
        <w:t>y-o-y</w:t>
      </w:r>
      <w:r w:rsidRPr="00D11976">
        <w:rPr>
          <w:rFonts w:asciiTheme="minorBidi" w:hAnsiTheme="minorBidi" w:cstheme="minorBidi"/>
          <w:sz w:val="32"/>
          <w:szCs w:val="32"/>
        </w:rPr>
        <w:t xml:space="preserve">, primarily because of lower </w:t>
      </w:r>
      <w:r w:rsidR="00F474F1" w:rsidRPr="00D11976">
        <w:rPr>
          <w:rFonts w:asciiTheme="minorBidi" w:hAnsiTheme="minorBidi" w:cstheme="minorBidi"/>
          <w:sz w:val="32"/>
          <w:szCs w:val="32"/>
        </w:rPr>
        <w:t xml:space="preserve">product </w:t>
      </w:r>
      <w:r w:rsidRPr="00D11976">
        <w:rPr>
          <w:rFonts w:asciiTheme="minorBidi" w:hAnsiTheme="minorBidi" w:cstheme="minorBidi"/>
          <w:sz w:val="32"/>
          <w:szCs w:val="32"/>
        </w:rPr>
        <w:t xml:space="preserve">prices. </w:t>
      </w:r>
      <w:r w:rsidR="00F474F1" w:rsidRPr="00D11976">
        <w:rPr>
          <w:rFonts w:asciiTheme="minorBidi" w:hAnsiTheme="minorBidi" w:cstheme="minorBidi"/>
          <w:sz w:val="32"/>
          <w:szCs w:val="32"/>
        </w:rPr>
        <w:t xml:space="preserve">Profit for the Period, without the severance pay adjustment, dropped by </w:t>
      </w:r>
      <w:r w:rsidR="00B07442" w:rsidRPr="00D11976">
        <w:rPr>
          <w:rFonts w:asciiTheme="minorBidi" w:hAnsiTheme="minorBidi" w:cstheme="minorBidi"/>
          <w:sz w:val="32"/>
          <w:szCs w:val="32"/>
        </w:rPr>
        <w:t>35</w:t>
      </w:r>
      <w:r w:rsidR="00F474F1" w:rsidRPr="00D11976">
        <w:rPr>
          <w:rFonts w:asciiTheme="minorBidi" w:hAnsiTheme="minorBidi" w:cstheme="minorBidi"/>
          <w:sz w:val="32"/>
          <w:szCs w:val="32"/>
        </w:rPr>
        <w:t xml:space="preserve">% y-o-y to 10,530 MB. Factoring in the severance pay adjustment, Chemicals Business’ Profit for the Period will stand at </w:t>
      </w:r>
      <w:r w:rsidR="00C16F46" w:rsidRPr="00D11976">
        <w:rPr>
          <w:rFonts w:asciiTheme="minorBidi" w:hAnsiTheme="minorBidi" w:cstheme="minorBidi"/>
          <w:sz w:val="32"/>
          <w:szCs w:val="32"/>
        </w:rPr>
        <w:t>10,048</w:t>
      </w:r>
      <w:r w:rsidR="00F474F1" w:rsidRPr="00D11976">
        <w:rPr>
          <w:rFonts w:asciiTheme="minorBidi" w:hAnsiTheme="minorBidi" w:cstheme="minorBidi"/>
          <w:sz w:val="32"/>
          <w:szCs w:val="32"/>
        </w:rPr>
        <w:t xml:space="preserve"> MB.</w:t>
      </w:r>
    </w:p>
    <w:p w14:paraId="2A050950" w14:textId="60D90AAB" w:rsidR="009C5622" w:rsidRPr="00D11976" w:rsidRDefault="009831B3" w:rsidP="00EC793A">
      <w:pPr>
        <w:ind w:firstLine="720"/>
        <w:jc w:val="thaiDistribute"/>
        <w:rPr>
          <w:rFonts w:asciiTheme="minorBidi" w:hAnsiTheme="minorBidi" w:cstheme="minorBidi"/>
          <w:sz w:val="32"/>
          <w:szCs w:val="32"/>
        </w:rPr>
      </w:pPr>
      <w:r w:rsidRPr="00D11976">
        <w:rPr>
          <w:rFonts w:asciiTheme="minorBidi" w:hAnsiTheme="minorBidi" w:cstheme="minorBidi"/>
          <w:b/>
          <w:bCs/>
          <w:sz w:val="32"/>
          <w:szCs w:val="32"/>
        </w:rPr>
        <w:t>Cement-Building Materials Business</w:t>
      </w:r>
      <w:r w:rsidRPr="00D11976">
        <w:rPr>
          <w:rFonts w:asciiTheme="minorBidi" w:hAnsiTheme="minorBidi" w:cstheme="minorBidi"/>
          <w:sz w:val="32"/>
          <w:szCs w:val="32"/>
        </w:rPr>
        <w:t xml:space="preserve"> recorded Q2/2019 Revenue from Sales of </w:t>
      </w:r>
      <w:r w:rsidR="00C16F46" w:rsidRPr="00D11976">
        <w:rPr>
          <w:rFonts w:asciiTheme="minorBidi" w:hAnsiTheme="minorBidi" w:cstheme="minorBidi"/>
          <w:sz w:val="32"/>
          <w:szCs w:val="32"/>
        </w:rPr>
        <w:t>45,928</w:t>
      </w:r>
      <w:r w:rsidRPr="00D11976">
        <w:rPr>
          <w:rFonts w:asciiTheme="minorBidi" w:hAnsiTheme="minorBidi" w:cstheme="minorBidi"/>
          <w:sz w:val="32"/>
          <w:szCs w:val="32"/>
        </w:rPr>
        <w:t xml:space="preserve"> MB, a rise of </w:t>
      </w:r>
      <w:r w:rsidR="00C16F46" w:rsidRPr="00D11976">
        <w:rPr>
          <w:rFonts w:asciiTheme="minorBidi" w:hAnsiTheme="minorBidi" w:cstheme="minorBidi"/>
          <w:sz w:val="32"/>
          <w:szCs w:val="32"/>
        </w:rPr>
        <w:t>3</w:t>
      </w:r>
      <w:r w:rsidRPr="00D11976">
        <w:rPr>
          <w:rFonts w:asciiTheme="minorBidi" w:hAnsiTheme="minorBidi" w:cstheme="minorBidi"/>
          <w:sz w:val="32"/>
          <w:szCs w:val="32"/>
        </w:rPr>
        <w:t xml:space="preserve">% y-o-y but declined </w:t>
      </w:r>
      <w:r w:rsidR="00C16F46" w:rsidRPr="00D11976">
        <w:rPr>
          <w:rFonts w:asciiTheme="minorBidi" w:hAnsiTheme="minorBidi" w:cstheme="minorBidi"/>
          <w:sz w:val="32"/>
          <w:szCs w:val="32"/>
        </w:rPr>
        <w:t>5</w:t>
      </w:r>
      <w:r w:rsidRPr="00D11976">
        <w:rPr>
          <w:rFonts w:asciiTheme="minorBidi" w:hAnsiTheme="minorBidi" w:cstheme="minorBidi"/>
          <w:sz w:val="32"/>
          <w:szCs w:val="32"/>
        </w:rPr>
        <w:t>% q-o-q from the stagnation of cement-building products on the market during the rainy season. Profit for the Period</w:t>
      </w:r>
      <w:r w:rsidR="00EC793A" w:rsidRPr="00D11976">
        <w:rPr>
          <w:rFonts w:asciiTheme="minorBidi" w:hAnsiTheme="minorBidi" w:cstheme="minorBidi"/>
          <w:sz w:val="32"/>
          <w:szCs w:val="32"/>
        </w:rPr>
        <w:t xml:space="preserve">, without the severance pay adjustment, </w:t>
      </w:r>
      <w:r w:rsidRPr="00D11976">
        <w:rPr>
          <w:rFonts w:asciiTheme="minorBidi" w:hAnsiTheme="minorBidi" w:cstheme="minorBidi"/>
          <w:sz w:val="32"/>
          <w:szCs w:val="32"/>
        </w:rPr>
        <w:t xml:space="preserve">amounted to </w:t>
      </w:r>
      <w:r w:rsidR="00EC793A" w:rsidRPr="00D11976">
        <w:rPr>
          <w:rFonts w:asciiTheme="minorBidi" w:hAnsiTheme="minorBidi" w:cstheme="minorBidi"/>
          <w:sz w:val="32"/>
          <w:szCs w:val="32"/>
        </w:rPr>
        <w:t>1,837</w:t>
      </w:r>
      <w:r w:rsidRPr="00D11976">
        <w:rPr>
          <w:rFonts w:asciiTheme="minorBidi" w:hAnsiTheme="minorBidi" w:cstheme="minorBidi"/>
          <w:sz w:val="32"/>
          <w:szCs w:val="32"/>
        </w:rPr>
        <w:t xml:space="preserve"> MB with a </w:t>
      </w:r>
      <w:r w:rsidR="00B07442" w:rsidRPr="00D11976">
        <w:rPr>
          <w:rFonts w:asciiTheme="minorBidi" w:hAnsiTheme="minorBidi" w:cstheme="minorBidi"/>
          <w:sz w:val="32"/>
          <w:szCs w:val="32"/>
        </w:rPr>
        <w:t>rise</w:t>
      </w:r>
      <w:r w:rsidRPr="00D11976">
        <w:rPr>
          <w:rFonts w:asciiTheme="minorBidi" w:hAnsiTheme="minorBidi" w:cstheme="minorBidi"/>
          <w:sz w:val="32"/>
          <w:szCs w:val="32"/>
        </w:rPr>
        <w:t xml:space="preserve"> of </w:t>
      </w:r>
      <w:r w:rsidR="00B07442" w:rsidRPr="00D11976">
        <w:rPr>
          <w:rFonts w:asciiTheme="minorBidi" w:hAnsiTheme="minorBidi" w:cstheme="minorBidi"/>
          <w:sz w:val="32"/>
          <w:szCs w:val="32"/>
        </w:rPr>
        <w:t>10</w:t>
      </w:r>
      <w:r w:rsidRPr="00D11976">
        <w:rPr>
          <w:rFonts w:asciiTheme="minorBidi" w:hAnsiTheme="minorBidi" w:cstheme="minorBidi"/>
          <w:sz w:val="32"/>
          <w:szCs w:val="32"/>
        </w:rPr>
        <w:t xml:space="preserve">% y-o-y </w:t>
      </w:r>
      <w:r w:rsidR="00B07442" w:rsidRPr="00D11976">
        <w:rPr>
          <w:rFonts w:asciiTheme="minorBidi" w:hAnsiTheme="minorBidi" w:cstheme="minorBidi"/>
          <w:sz w:val="32"/>
          <w:szCs w:val="32"/>
        </w:rPr>
        <w:t>but declined</w:t>
      </w:r>
      <w:r w:rsidRPr="00D11976">
        <w:rPr>
          <w:rFonts w:asciiTheme="minorBidi" w:hAnsiTheme="minorBidi" w:cstheme="minorBidi"/>
          <w:sz w:val="32"/>
          <w:szCs w:val="32"/>
        </w:rPr>
        <w:t xml:space="preserve"> </w:t>
      </w:r>
      <w:r w:rsidR="00B07442" w:rsidRPr="00D11976">
        <w:rPr>
          <w:rFonts w:asciiTheme="minorBidi" w:hAnsiTheme="minorBidi" w:cstheme="minorBidi"/>
          <w:sz w:val="32"/>
          <w:szCs w:val="32"/>
        </w:rPr>
        <w:t>4</w:t>
      </w:r>
      <w:r w:rsidR="00EC793A" w:rsidRPr="00D11976">
        <w:rPr>
          <w:rFonts w:asciiTheme="minorBidi" w:hAnsiTheme="minorBidi" w:cstheme="minorBidi"/>
          <w:sz w:val="32"/>
          <w:szCs w:val="32"/>
        </w:rPr>
        <w:t>0</w:t>
      </w:r>
      <w:r w:rsidRPr="00D11976">
        <w:rPr>
          <w:rFonts w:asciiTheme="minorBidi" w:hAnsiTheme="minorBidi" w:cstheme="minorBidi"/>
          <w:sz w:val="32"/>
          <w:szCs w:val="32"/>
        </w:rPr>
        <w:t xml:space="preserve">% q-o-q. </w:t>
      </w:r>
      <w:r w:rsidR="00EC793A" w:rsidRPr="00D11976">
        <w:rPr>
          <w:rFonts w:asciiTheme="minorBidi" w:hAnsiTheme="minorBidi" w:cstheme="minorBidi"/>
          <w:sz w:val="32"/>
          <w:szCs w:val="32"/>
        </w:rPr>
        <w:t>Factoring in the severance pay adjustment of 964 MB, Cement-Building Materials Business’ Profit for the Period will stand at 873 MB.</w:t>
      </w:r>
    </w:p>
    <w:p w14:paraId="76CDE151" w14:textId="78A3BD04" w:rsidR="009831B3" w:rsidRPr="00D11976" w:rsidRDefault="009831B3" w:rsidP="009C5622">
      <w:pPr>
        <w:ind w:firstLine="720"/>
        <w:jc w:val="thaiDistribute"/>
        <w:rPr>
          <w:rFonts w:asciiTheme="minorBidi" w:hAnsiTheme="minorBidi" w:cstheme="minorBidi"/>
          <w:sz w:val="32"/>
          <w:szCs w:val="32"/>
          <w:cs/>
        </w:rPr>
      </w:pPr>
      <w:r w:rsidRPr="00D11976">
        <w:rPr>
          <w:rFonts w:asciiTheme="minorBidi" w:hAnsiTheme="minorBidi" w:cstheme="minorBidi"/>
          <w:sz w:val="32"/>
          <w:szCs w:val="32"/>
        </w:rPr>
        <w:t xml:space="preserve">As a result, Revenue from Sales for H1/2019 would increase by </w:t>
      </w:r>
      <w:r w:rsidR="00EC793A" w:rsidRPr="00D11976">
        <w:rPr>
          <w:rFonts w:asciiTheme="minorBidi" w:hAnsiTheme="minorBidi" w:cstheme="minorBidi"/>
          <w:sz w:val="32"/>
          <w:szCs w:val="32"/>
        </w:rPr>
        <w:t>3</w:t>
      </w:r>
      <w:r w:rsidRPr="00D11976">
        <w:rPr>
          <w:rFonts w:asciiTheme="minorBidi" w:hAnsiTheme="minorBidi" w:cstheme="minorBidi"/>
          <w:sz w:val="32"/>
          <w:szCs w:val="32"/>
        </w:rPr>
        <w:t xml:space="preserve">% y-o-y to </w:t>
      </w:r>
      <w:r w:rsidR="00EC793A" w:rsidRPr="00D11976">
        <w:rPr>
          <w:rFonts w:asciiTheme="minorBidi" w:hAnsiTheme="minorBidi" w:cstheme="minorBidi"/>
          <w:sz w:val="32"/>
          <w:szCs w:val="32"/>
        </w:rPr>
        <w:t>94,238</w:t>
      </w:r>
      <w:r w:rsidRPr="00D11976">
        <w:rPr>
          <w:rFonts w:asciiTheme="minorBidi" w:hAnsiTheme="minorBidi" w:cstheme="minorBidi"/>
          <w:sz w:val="32"/>
          <w:szCs w:val="32"/>
        </w:rPr>
        <w:t xml:space="preserve"> MB, attributed to the continued </w:t>
      </w:r>
      <w:r w:rsidR="00F67370" w:rsidRPr="00D11976">
        <w:rPr>
          <w:rFonts w:asciiTheme="minorBidi" w:hAnsiTheme="minorBidi" w:cstheme="minorBidi"/>
          <w:sz w:val="32"/>
          <w:szCs w:val="32"/>
        </w:rPr>
        <w:t>growth contribution</w:t>
      </w:r>
      <w:r w:rsidRPr="00D11976">
        <w:rPr>
          <w:rFonts w:asciiTheme="minorBidi" w:hAnsiTheme="minorBidi" w:cstheme="minorBidi"/>
          <w:sz w:val="32"/>
          <w:szCs w:val="32"/>
        </w:rPr>
        <w:t xml:space="preserve"> of the </w:t>
      </w:r>
      <w:r w:rsidR="00F67370" w:rsidRPr="00D11976">
        <w:rPr>
          <w:rFonts w:asciiTheme="minorBidi" w:hAnsiTheme="minorBidi" w:cstheme="minorBidi"/>
          <w:sz w:val="32"/>
          <w:szCs w:val="32"/>
        </w:rPr>
        <w:t xml:space="preserve">Thai grey </w:t>
      </w:r>
      <w:r w:rsidRPr="00D11976">
        <w:rPr>
          <w:rFonts w:asciiTheme="minorBidi" w:hAnsiTheme="minorBidi" w:cstheme="minorBidi"/>
          <w:sz w:val="32"/>
          <w:szCs w:val="32"/>
        </w:rPr>
        <w:t xml:space="preserve">cement </w:t>
      </w:r>
      <w:r w:rsidR="00F67370" w:rsidRPr="00D11976">
        <w:rPr>
          <w:rFonts w:asciiTheme="minorBidi" w:hAnsiTheme="minorBidi" w:cstheme="minorBidi"/>
          <w:sz w:val="32"/>
          <w:szCs w:val="32"/>
        </w:rPr>
        <w:t>sales</w:t>
      </w:r>
      <w:r w:rsidRPr="00D11976">
        <w:rPr>
          <w:rFonts w:asciiTheme="minorBidi" w:hAnsiTheme="minorBidi" w:cstheme="minorBidi"/>
          <w:sz w:val="32"/>
          <w:szCs w:val="32"/>
        </w:rPr>
        <w:t xml:space="preserve">. </w:t>
      </w:r>
      <w:r w:rsidR="00B07442" w:rsidRPr="00D11976">
        <w:rPr>
          <w:rFonts w:asciiTheme="minorBidi" w:hAnsiTheme="minorBidi" w:cstheme="minorBidi"/>
          <w:sz w:val="32"/>
          <w:szCs w:val="32"/>
        </w:rPr>
        <w:t>Profit for the Period, without the seve</w:t>
      </w:r>
      <w:r w:rsidR="004B3AFD">
        <w:rPr>
          <w:rFonts w:asciiTheme="minorBidi" w:hAnsiTheme="minorBidi" w:cstheme="minorBidi"/>
          <w:sz w:val="32"/>
          <w:szCs w:val="32"/>
        </w:rPr>
        <w:t>rance pay adjustment, rise o</w:t>
      </w:r>
      <w:bookmarkStart w:id="0" w:name="_GoBack"/>
      <w:bookmarkEnd w:id="0"/>
      <w:r w:rsidR="004B3AFD">
        <w:rPr>
          <w:rFonts w:asciiTheme="minorBidi" w:hAnsiTheme="minorBidi" w:cstheme="minorBidi"/>
          <w:sz w:val="32"/>
          <w:szCs w:val="32"/>
        </w:rPr>
        <w:t>f 17</w:t>
      </w:r>
      <w:r w:rsidR="00B07442" w:rsidRPr="00D11976">
        <w:rPr>
          <w:rFonts w:asciiTheme="minorBidi" w:hAnsiTheme="minorBidi" w:cstheme="minorBidi"/>
          <w:sz w:val="32"/>
          <w:szCs w:val="32"/>
        </w:rPr>
        <w:t xml:space="preserve">% y-o-y to 4,877 MB. </w:t>
      </w:r>
      <w:r w:rsidR="00F67370" w:rsidRPr="00D11976">
        <w:rPr>
          <w:rFonts w:asciiTheme="minorBidi" w:hAnsiTheme="minorBidi" w:cstheme="minorBidi"/>
          <w:sz w:val="32"/>
          <w:szCs w:val="32"/>
        </w:rPr>
        <w:t xml:space="preserve">Factoring in the severance pay adjustment, Cement-Building Materials Business’ Profit for the Period will stand at </w:t>
      </w:r>
      <w:r w:rsidR="00AA146D" w:rsidRPr="00D11976">
        <w:rPr>
          <w:rFonts w:asciiTheme="minorBidi" w:hAnsiTheme="minorBidi" w:cstheme="minorBidi"/>
          <w:sz w:val="32"/>
          <w:szCs w:val="32"/>
        </w:rPr>
        <w:t>3,913</w:t>
      </w:r>
      <w:r w:rsidR="00F67370" w:rsidRPr="00D11976">
        <w:rPr>
          <w:rFonts w:asciiTheme="minorBidi" w:hAnsiTheme="minorBidi" w:cstheme="minorBidi"/>
          <w:sz w:val="32"/>
          <w:szCs w:val="32"/>
        </w:rPr>
        <w:t xml:space="preserve"> MB.</w:t>
      </w:r>
    </w:p>
    <w:p w14:paraId="0FCBBC02" w14:textId="6B79BC38" w:rsidR="009C5622"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b/>
          <w:bCs/>
          <w:sz w:val="32"/>
          <w:szCs w:val="32"/>
        </w:rPr>
        <w:t>Packaging Business</w:t>
      </w:r>
      <w:r w:rsidRPr="00D11976">
        <w:rPr>
          <w:rFonts w:asciiTheme="minorBidi" w:hAnsiTheme="minorBidi" w:cstheme="minorBidi"/>
          <w:sz w:val="32"/>
          <w:szCs w:val="32"/>
        </w:rPr>
        <w:t xml:space="preserve"> recorded Q2/2019 Revenue from Sales of </w:t>
      </w:r>
      <w:r w:rsidR="00AA146D" w:rsidRPr="00D11976">
        <w:rPr>
          <w:rFonts w:asciiTheme="minorBidi" w:hAnsiTheme="minorBidi" w:cstheme="minorBidi"/>
          <w:sz w:val="32"/>
          <w:szCs w:val="32"/>
        </w:rPr>
        <w:t>20,402</w:t>
      </w:r>
      <w:r w:rsidRPr="00D11976">
        <w:rPr>
          <w:rFonts w:asciiTheme="minorBidi" w:hAnsiTheme="minorBidi" w:cstheme="minorBidi"/>
          <w:sz w:val="32"/>
          <w:szCs w:val="32"/>
        </w:rPr>
        <w:t xml:space="preserve"> MB, a decrease of </w:t>
      </w:r>
      <w:r w:rsidR="00AA146D" w:rsidRPr="00D11976">
        <w:rPr>
          <w:rFonts w:asciiTheme="minorBidi" w:hAnsiTheme="minorBidi" w:cstheme="minorBidi"/>
          <w:sz w:val="32"/>
          <w:szCs w:val="32"/>
        </w:rPr>
        <w:t>6</w:t>
      </w:r>
      <w:r w:rsidRPr="00D11976">
        <w:rPr>
          <w:rFonts w:asciiTheme="minorBidi" w:hAnsiTheme="minorBidi" w:cstheme="minorBidi"/>
          <w:sz w:val="32"/>
          <w:szCs w:val="32"/>
        </w:rPr>
        <w:t xml:space="preserve">% y-o-y and </w:t>
      </w:r>
      <w:r w:rsidR="00AA146D" w:rsidRPr="00D11976">
        <w:rPr>
          <w:rFonts w:asciiTheme="minorBidi" w:hAnsiTheme="minorBidi" w:cstheme="minorBidi"/>
          <w:sz w:val="32"/>
          <w:szCs w:val="32"/>
        </w:rPr>
        <w:t>3</w:t>
      </w:r>
      <w:r w:rsidRPr="00D11976">
        <w:rPr>
          <w:rFonts w:asciiTheme="minorBidi" w:hAnsiTheme="minorBidi" w:cstheme="minorBidi"/>
          <w:sz w:val="32"/>
          <w:szCs w:val="32"/>
        </w:rPr>
        <w:t xml:space="preserve">% q-o-q, mainly due to </w:t>
      </w:r>
      <w:r w:rsidR="00AA146D" w:rsidRPr="00D11976">
        <w:rPr>
          <w:rFonts w:asciiTheme="minorBidi" w:hAnsiTheme="minorBidi" w:cstheme="minorBidi"/>
          <w:sz w:val="32"/>
          <w:szCs w:val="32"/>
        </w:rPr>
        <w:t>demand softness in both Packaging and others paper (Fibrous)</w:t>
      </w:r>
      <w:r w:rsidRPr="00D11976">
        <w:rPr>
          <w:rFonts w:asciiTheme="minorBidi" w:hAnsiTheme="minorBidi" w:cstheme="minorBidi"/>
          <w:sz w:val="32"/>
          <w:szCs w:val="32"/>
        </w:rPr>
        <w:t>. Profit for the Period</w:t>
      </w:r>
      <w:r w:rsidR="00AA146D" w:rsidRPr="00D11976">
        <w:rPr>
          <w:rFonts w:asciiTheme="minorBidi" w:hAnsiTheme="minorBidi" w:cstheme="minorBidi"/>
          <w:sz w:val="32"/>
          <w:szCs w:val="32"/>
        </w:rPr>
        <w:t xml:space="preserve">, without the severance pay adjustment, </w:t>
      </w:r>
      <w:r w:rsidRPr="00D11976">
        <w:rPr>
          <w:rFonts w:asciiTheme="minorBidi" w:hAnsiTheme="minorBidi" w:cstheme="minorBidi"/>
          <w:sz w:val="32"/>
          <w:szCs w:val="32"/>
        </w:rPr>
        <w:t xml:space="preserve">amounted to </w:t>
      </w:r>
      <w:r w:rsidR="00AA146D" w:rsidRPr="00D11976">
        <w:rPr>
          <w:rFonts w:asciiTheme="minorBidi" w:hAnsiTheme="minorBidi" w:cstheme="minorBidi"/>
          <w:sz w:val="32"/>
          <w:szCs w:val="32"/>
        </w:rPr>
        <w:t>1,375</w:t>
      </w:r>
      <w:r w:rsidRPr="00D11976">
        <w:rPr>
          <w:rFonts w:asciiTheme="minorBidi" w:hAnsiTheme="minorBidi" w:cstheme="minorBidi"/>
          <w:sz w:val="32"/>
          <w:szCs w:val="32"/>
        </w:rPr>
        <w:t xml:space="preserve"> MB, down </w:t>
      </w:r>
      <w:r w:rsidR="00AA146D" w:rsidRPr="00D11976">
        <w:rPr>
          <w:rFonts w:asciiTheme="minorBidi" w:hAnsiTheme="minorBidi" w:cstheme="minorBidi"/>
          <w:sz w:val="32"/>
          <w:szCs w:val="32"/>
        </w:rPr>
        <w:t>14</w:t>
      </w:r>
      <w:r w:rsidRPr="00D11976">
        <w:rPr>
          <w:rFonts w:asciiTheme="minorBidi" w:hAnsiTheme="minorBidi" w:cstheme="minorBidi"/>
          <w:sz w:val="32"/>
          <w:szCs w:val="32"/>
        </w:rPr>
        <w:t xml:space="preserve">% y-o-y and </w:t>
      </w:r>
      <w:r w:rsidR="00AA146D" w:rsidRPr="00D11976">
        <w:rPr>
          <w:rFonts w:asciiTheme="minorBidi" w:hAnsiTheme="minorBidi" w:cstheme="minorBidi"/>
          <w:sz w:val="32"/>
          <w:szCs w:val="32"/>
        </w:rPr>
        <w:t>18</w:t>
      </w:r>
      <w:r w:rsidRPr="00D11976">
        <w:rPr>
          <w:rFonts w:asciiTheme="minorBidi" w:hAnsiTheme="minorBidi" w:cstheme="minorBidi"/>
          <w:sz w:val="32"/>
          <w:szCs w:val="32"/>
        </w:rPr>
        <w:t xml:space="preserve">% q-o-q. </w:t>
      </w:r>
      <w:r w:rsidR="00AA146D" w:rsidRPr="00D11976">
        <w:rPr>
          <w:rFonts w:asciiTheme="minorBidi" w:hAnsiTheme="minorBidi" w:cstheme="minorBidi"/>
          <w:sz w:val="32"/>
          <w:szCs w:val="32"/>
        </w:rPr>
        <w:t>Factoring in the severance pay adjustment of 338 MB, Packaging Business’ Profit for the Period will stand at 1,037 MB.</w:t>
      </w:r>
    </w:p>
    <w:p w14:paraId="5349CF8B" w14:textId="767D65C3" w:rsidR="009831B3" w:rsidRPr="00D11976" w:rsidRDefault="009831B3" w:rsidP="009C5622">
      <w:pPr>
        <w:ind w:firstLine="720"/>
        <w:jc w:val="thaiDistribute"/>
        <w:rPr>
          <w:rFonts w:asciiTheme="minorBidi" w:hAnsiTheme="minorBidi" w:cstheme="minorBidi"/>
          <w:sz w:val="32"/>
          <w:szCs w:val="32"/>
          <w:cs/>
        </w:rPr>
      </w:pPr>
      <w:r w:rsidRPr="00D11976">
        <w:rPr>
          <w:rFonts w:asciiTheme="minorBidi" w:hAnsiTheme="minorBidi" w:cstheme="minorBidi"/>
          <w:sz w:val="32"/>
          <w:szCs w:val="32"/>
        </w:rPr>
        <w:t xml:space="preserve">As a result, Revenue from Sales for H1/2019 would dip by </w:t>
      </w:r>
      <w:r w:rsidR="00982248" w:rsidRPr="00D11976">
        <w:rPr>
          <w:rFonts w:asciiTheme="minorBidi" w:hAnsiTheme="minorBidi" w:cstheme="minorBidi"/>
          <w:sz w:val="32"/>
          <w:szCs w:val="32"/>
        </w:rPr>
        <w:t>5</w:t>
      </w:r>
      <w:r w:rsidRPr="00D11976">
        <w:rPr>
          <w:rFonts w:asciiTheme="minorBidi" w:hAnsiTheme="minorBidi" w:cstheme="minorBidi"/>
          <w:sz w:val="32"/>
          <w:szCs w:val="32"/>
        </w:rPr>
        <w:t xml:space="preserve">% y-o-y to </w:t>
      </w:r>
      <w:r w:rsidR="00FA6F2E" w:rsidRPr="00D11976">
        <w:rPr>
          <w:rFonts w:asciiTheme="minorBidi" w:hAnsiTheme="minorBidi" w:cstheme="minorBidi"/>
          <w:sz w:val="32"/>
          <w:szCs w:val="32"/>
        </w:rPr>
        <w:t>41,529</w:t>
      </w:r>
      <w:r w:rsidRPr="00D11976">
        <w:rPr>
          <w:rFonts w:asciiTheme="minorBidi" w:hAnsiTheme="minorBidi" w:cstheme="minorBidi"/>
          <w:sz w:val="32"/>
          <w:szCs w:val="32"/>
        </w:rPr>
        <w:t xml:space="preserve"> MB, attributed to </w:t>
      </w:r>
      <w:r w:rsidR="00982248" w:rsidRPr="00D11976">
        <w:rPr>
          <w:rFonts w:asciiTheme="minorBidi" w:hAnsiTheme="minorBidi" w:cstheme="minorBidi"/>
          <w:sz w:val="32"/>
          <w:szCs w:val="32"/>
        </w:rPr>
        <w:t>demand softness in both Packaging and others paper (Fibrous)</w:t>
      </w:r>
      <w:r w:rsidRPr="00D11976">
        <w:rPr>
          <w:rFonts w:asciiTheme="minorBidi" w:hAnsiTheme="minorBidi" w:cstheme="minorBidi"/>
          <w:sz w:val="32"/>
          <w:szCs w:val="32"/>
        </w:rPr>
        <w:t xml:space="preserve">. </w:t>
      </w:r>
      <w:r w:rsidR="00B07442" w:rsidRPr="00D11976">
        <w:rPr>
          <w:rFonts w:asciiTheme="minorBidi" w:hAnsiTheme="minorBidi" w:cstheme="minorBidi"/>
          <w:sz w:val="32"/>
          <w:szCs w:val="32"/>
        </w:rPr>
        <w:t xml:space="preserve">Profit for the Period, without the severance pay adjustment, decrease of 2% y-o-y to 3,056 MB. </w:t>
      </w:r>
      <w:r w:rsidR="00982248" w:rsidRPr="00D11976">
        <w:rPr>
          <w:rFonts w:asciiTheme="minorBidi" w:hAnsiTheme="minorBidi" w:cstheme="minorBidi"/>
          <w:sz w:val="32"/>
          <w:szCs w:val="32"/>
        </w:rPr>
        <w:t>Factoring in the severance pay adjustment, Packaging Business’ Profit for the Period will stand at 2,718 MB.</w:t>
      </w:r>
    </w:p>
    <w:p w14:paraId="51ABEFB8" w14:textId="3CF8090A"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rPr>
        <w:t xml:space="preserve">Mr. Roongrote said, “Despite a series of hurdles ranging from trade war, global economic slowdown, </w:t>
      </w:r>
      <w:r w:rsidR="00982248" w:rsidRPr="00D11976">
        <w:rPr>
          <w:rFonts w:asciiTheme="minorBidi" w:hAnsiTheme="minorBidi" w:cstheme="minorBidi"/>
          <w:sz w:val="32"/>
          <w:szCs w:val="32"/>
        </w:rPr>
        <w:t>severance pay adjustment in Q2/2019</w:t>
      </w:r>
      <w:r w:rsidRPr="00D11976">
        <w:rPr>
          <w:rFonts w:asciiTheme="minorBidi" w:hAnsiTheme="minorBidi" w:cstheme="minorBidi"/>
          <w:sz w:val="32"/>
          <w:szCs w:val="32"/>
        </w:rPr>
        <w:t xml:space="preserve"> </w:t>
      </w:r>
      <w:r w:rsidR="00002A1E" w:rsidRPr="00D11976">
        <w:rPr>
          <w:rFonts w:asciiTheme="minorBidi" w:hAnsiTheme="minorBidi" w:cstheme="minorBidi"/>
          <w:sz w:val="32"/>
          <w:szCs w:val="32"/>
        </w:rPr>
        <w:t xml:space="preserve">and inventory loss </w:t>
      </w:r>
      <w:r w:rsidRPr="00D11976">
        <w:rPr>
          <w:rFonts w:asciiTheme="minorBidi" w:hAnsiTheme="minorBidi" w:cstheme="minorBidi"/>
          <w:sz w:val="32"/>
          <w:szCs w:val="32"/>
        </w:rPr>
        <w:t>affecting</w:t>
      </w:r>
      <w:r w:rsidR="00002A1E" w:rsidRPr="00D11976">
        <w:rPr>
          <w:rFonts w:asciiTheme="minorBidi" w:hAnsiTheme="minorBidi" w:cstheme="minorBidi"/>
          <w:sz w:val="32"/>
          <w:szCs w:val="32"/>
        </w:rPr>
        <w:t xml:space="preserve"> </w:t>
      </w:r>
      <w:r w:rsidRPr="00D11976">
        <w:rPr>
          <w:rFonts w:asciiTheme="minorBidi" w:hAnsiTheme="minorBidi" w:cstheme="minorBidi"/>
          <w:sz w:val="32"/>
          <w:szCs w:val="32"/>
        </w:rPr>
        <w:t xml:space="preserve">SCG’s operating performance for the second quarter and the first half of 2019 -- especially in the chemicals business, SCG continues to broaden innovative and HVA product and service range along with striving to integrating the circular economy concept into its operations while delivering holistic solutions for customers. The Company is also steering major investment projects with the aim to help generate business values to meet the planned goals. With implementing two key strategies, SCG is competent </w:t>
      </w:r>
      <w:r w:rsidRPr="00D11976">
        <w:rPr>
          <w:rFonts w:asciiTheme="minorBidi" w:hAnsiTheme="minorBidi" w:cstheme="minorBidi"/>
          <w:sz w:val="32"/>
          <w:szCs w:val="32"/>
        </w:rPr>
        <w:lastRenderedPageBreak/>
        <w:t xml:space="preserve">to strengthen resilience against global economic fluctuations with a management approach that focuses on long-term growth and stability.                       </w:t>
      </w:r>
    </w:p>
    <w:p w14:paraId="4C185915" w14:textId="46EC86A0" w:rsidR="009831B3" w:rsidRPr="00D11976" w:rsidRDefault="009831B3" w:rsidP="009C5622">
      <w:pPr>
        <w:ind w:firstLine="720"/>
        <w:jc w:val="thaiDistribute"/>
        <w:rPr>
          <w:rFonts w:asciiTheme="minorBidi" w:hAnsiTheme="minorBidi" w:cstheme="minorBidi"/>
          <w:sz w:val="32"/>
          <w:szCs w:val="32"/>
          <w:cs/>
        </w:rPr>
      </w:pPr>
      <w:r w:rsidRPr="00D11976">
        <w:rPr>
          <w:rFonts w:asciiTheme="minorBidi" w:hAnsiTheme="minorBidi" w:cstheme="minorBidi"/>
          <w:sz w:val="32"/>
          <w:szCs w:val="32"/>
        </w:rPr>
        <w:t xml:space="preserve">To pursue the strategy of </w:t>
      </w:r>
      <w:r w:rsidRPr="00D11976">
        <w:rPr>
          <w:rFonts w:asciiTheme="minorBidi" w:hAnsiTheme="minorBidi" w:cstheme="minorBidi"/>
          <w:b/>
          <w:bCs/>
          <w:sz w:val="32"/>
          <w:szCs w:val="32"/>
        </w:rPr>
        <w:t>Long-term Growth Management</w:t>
      </w:r>
      <w:r w:rsidRPr="00D11976">
        <w:rPr>
          <w:rFonts w:asciiTheme="minorBidi" w:hAnsiTheme="minorBidi" w:cstheme="minorBidi"/>
          <w:sz w:val="32"/>
          <w:szCs w:val="32"/>
        </w:rPr>
        <w:t xml:space="preserve">, </w:t>
      </w:r>
      <w:r w:rsidRPr="00D11976">
        <w:rPr>
          <w:rFonts w:asciiTheme="minorBidi" w:hAnsiTheme="minorBidi" w:cstheme="minorBidi"/>
          <w:sz w:val="32"/>
          <w:szCs w:val="32"/>
          <w:u w:val="single"/>
        </w:rPr>
        <w:t>Chemicals Business</w:t>
      </w:r>
      <w:r w:rsidRPr="00D11976">
        <w:rPr>
          <w:rFonts w:asciiTheme="minorBidi" w:hAnsiTheme="minorBidi" w:cstheme="minorBidi"/>
          <w:sz w:val="32"/>
          <w:szCs w:val="32"/>
        </w:rPr>
        <w:t xml:space="preserve"> put a spotlight on increasing its competitive </w:t>
      </w:r>
      <w:r w:rsidR="009857A7" w:rsidRPr="00D11976">
        <w:rPr>
          <w:rFonts w:asciiTheme="minorBidi" w:hAnsiTheme="minorBidi" w:cstheme="minorBidi"/>
          <w:sz w:val="32"/>
          <w:szCs w:val="32"/>
        </w:rPr>
        <w:t>advantage</w:t>
      </w:r>
      <w:r w:rsidRPr="00D11976">
        <w:rPr>
          <w:rFonts w:asciiTheme="minorBidi" w:hAnsiTheme="minorBidi" w:cstheme="minorBidi"/>
          <w:sz w:val="32"/>
          <w:szCs w:val="32"/>
        </w:rPr>
        <w:t xml:space="preserve"> by leveraging SCG's strength on HVA product and service development</w:t>
      </w:r>
      <w:r w:rsidR="000632B9" w:rsidRPr="00D11976">
        <w:rPr>
          <w:rFonts w:asciiTheme="minorBidi" w:hAnsiTheme="minorBidi" w:cstheme="minorBidi"/>
          <w:sz w:val="32"/>
          <w:szCs w:val="32"/>
        </w:rPr>
        <w:t xml:space="preserve"> especially Sustainable </w:t>
      </w:r>
      <w:r w:rsidRPr="00D11976">
        <w:rPr>
          <w:rFonts w:asciiTheme="minorBidi" w:hAnsiTheme="minorBidi" w:cstheme="minorBidi"/>
          <w:sz w:val="32"/>
          <w:szCs w:val="32"/>
        </w:rPr>
        <w:t>Chemic</w:t>
      </w:r>
      <w:r w:rsidR="000632B9" w:rsidRPr="00D11976">
        <w:rPr>
          <w:rFonts w:asciiTheme="minorBidi" w:hAnsiTheme="minorBidi" w:cstheme="minorBidi"/>
          <w:sz w:val="32"/>
          <w:szCs w:val="32"/>
        </w:rPr>
        <w:t>als products and services that achieving a circular economy</w:t>
      </w:r>
      <w:r w:rsidRPr="00D11976">
        <w:rPr>
          <w:rFonts w:asciiTheme="minorBidi" w:hAnsiTheme="minorBidi" w:cstheme="minorBidi"/>
          <w:sz w:val="32"/>
          <w:szCs w:val="32"/>
        </w:rPr>
        <w:t xml:space="preserve">. Examples include the development of special-grade polyethylene compounds with SMX Technology™ for converters and brand owners who look for higher quality plastic resins with reduced material consumption while maintaining mechanical properties, and the development of Specialty Additives for fully recyclable packaging. </w:t>
      </w:r>
      <w:r w:rsidR="000632B9" w:rsidRPr="00D11976">
        <w:rPr>
          <w:rFonts w:asciiTheme="minorBidi" w:hAnsiTheme="minorBidi" w:cstheme="minorBidi"/>
          <w:sz w:val="32"/>
          <w:szCs w:val="32"/>
        </w:rPr>
        <w:t xml:space="preserve">Besides, </w:t>
      </w:r>
      <w:r w:rsidRPr="00D11976">
        <w:rPr>
          <w:rFonts w:asciiTheme="minorBidi" w:hAnsiTheme="minorBidi" w:cstheme="minorBidi"/>
          <w:sz w:val="32"/>
          <w:szCs w:val="32"/>
        </w:rPr>
        <w:t xml:space="preserve">SCG has recently launched SCG Advanced Materials Laboratory, an R&amp;D center in Oxford, the United Kingdom with a mission to develop prototypes of Functional Materials. </w:t>
      </w:r>
    </w:p>
    <w:p w14:paraId="5D1E6267" w14:textId="3D69747D"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u w:val="single"/>
        </w:rPr>
        <w:t>Cement-Building Materials Business</w:t>
      </w:r>
      <w:r w:rsidRPr="00D11976">
        <w:rPr>
          <w:rFonts w:asciiTheme="minorBidi" w:hAnsiTheme="minorBidi" w:cstheme="minorBidi"/>
          <w:sz w:val="32"/>
          <w:szCs w:val="32"/>
        </w:rPr>
        <w:t xml:space="preserve"> demonstrated robust growth, particularly in continuous investment in Thailand’s government construction projects along with the positive economic output of all countries in the region except Indonesia that faces domestic demand weakening. Hence, SCG actively focuses on tapping potential and fast-growing markets like retail Business. </w:t>
      </w:r>
      <w:r w:rsidR="000632B9" w:rsidRPr="00D11976">
        <w:rPr>
          <w:rFonts w:asciiTheme="minorBidi" w:hAnsiTheme="minorBidi" w:cstheme="minorBidi"/>
          <w:sz w:val="32"/>
          <w:szCs w:val="32"/>
        </w:rPr>
        <w:t>For example</w:t>
      </w:r>
      <w:r w:rsidRPr="00D11976">
        <w:rPr>
          <w:rFonts w:asciiTheme="minorBidi" w:hAnsiTheme="minorBidi" w:cstheme="minorBidi"/>
          <w:sz w:val="32"/>
          <w:szCs w:val="32"/>
        </w:rPr>
        <w:t>, launching “SCG Home Boonthavorn” to serve as a center offering kitchen and bathroom decorative materials in Nakhon Ratchasima</w:t>
      </w:r>
      <w:r w:rsidR="000632B9" w:rsidRPr="00D11976">
        <w:rPr>
          <w:rFonts w:asciiTheme="minorBidi" w:hAnsiTheme="minorBidi" w:cstheme="minorBidi"/>
          <w:sz w:val="32"/>
          <w:szCs w:val="32"/>
        </w:rPr>
        <w:t xml:space="preserve">, </w:t>
      </w:r>
      <w:r w:rsidRPr="00D11976">
        <w:rPr>
          <w:rFonts w:asciiTheme="minorBidi" w:hAnsiTheme="minorBidi" w:cstheme="minorBidi"/>
          <w:sz w:val="32"/>
          <w:szCs w:val="32"/>
        </w:rPr>
        <w:t>Krabi</w:t>
      </w:r>
      <w:r w:rsidR="001B34D9" w:rsidRPr="00D11976">
        <w:rPr>
          <w:rFonts w:asciiTheme="minorBidi" w:hAnsiTheme="minorBidi" w:cstheme="minorBidi"/>
          <w:sz w:val="32"/>
          <w:szCs w:val="32"/>
        </w:rPr>
        <w:t xml:space="preserve"> and Nakhon S</w:t>
      </w:r>
      <w:r w:rsidR="000632B9" w:rsidRPr="00D11976">
        <w:rPr>
          <w:rFonts w:asciiTheme="minorBidi" w:hAnsiTheme="minorBidi" w:cstheme="minorBidi"/>
          <w:sz w:val="32"/>
          <w:szCs w:val="32"/>
        </w:rPr>
        <w:t>i Thammarat</w:t>
      </w:r>
      <w:r w:rsidRPr="00D11976">
        <w:rPr>
          <w:rFonts w:asciiTheme="minorBidi" w:hAnsiTheme="minorBidi" w:cstheme="minorBidi"/>
          <w:sz w:val="32"/>
          <w:szCs w:val="32"/>
        </w:rPr>
        <w:t>. Furthermore, Logistics Business has expanded temperature-controlled warehouse capacity.</w:t>
      </w:r>
      <w:r w:rsidR="005E22F4" w:rsidRPr="00D11976">
        <w:rPr>
          <w:rFonts w:asciiTheme="minorBidi" w:hAnsiTheme="minorBidi" w:cstheme="minorBidi"/>
          <w:sz w:val="32"/>
          <w:szCs w:val="32"/>
        </w:rPr>
        <w:t xml:space="preserve"> What’s more, SCG has delivered total solutions for customers such as roofing solution that </w:t>
      </w:r>
      <w:r w:rsidRPr="00D11976">
        <w:rPr>
          <w:rFonts w:asciiTheme="minorBidi" w:hAnsiTheme="minorBidi" w:cstheme="minorBidi"/>
          <w:sz w:val="32"/>
          <w:szCs w:val="32"/>
        </w:rPr>
        <w:t>saving</w:t>
      </w:r>
      <w:r w:rsidR="005E22F4" w:rsidRPr="00D11976">
        <w:rPr>
          <w:rFonts w:asciiTheme="minorBidi" w:hAnsiTheme="minorBidi" w:cstheme="minorBidi"/>
          <w:sz w:val="32"/>
          <w:szCs w:val="32"/>
        </w:rPr>
        <w:t xml:space="preserve"> energy, </w:t>
      </w:r>
      <w:r w:rsidRPr="00D11976">
        <w:rPr>
          <w:rFonts w:asciiTheme="minorBidi" w:hAnsiTheme="minorBidi" w:cstheme="minorBidi"/>
          <w:sz w:val="32"/>
          <w:szCs w:val="32"/>
        </w:rPr>
        <w:t>prevents leaks with improved color durability and provides comfort living.</w:t>
      </w:r>
      <w:r w:rsidR="005E22F4" w:rsidRPr="00D11976">
        <w:rPr>
          <w:rFonts w:asciiTheme="minorBidi" w:hAnsiTheme="minorBidi" w:cstheme="minorBidi"/>
          <w:sz w:val="32"/>
          <w:szCs w:val="32"/>
        </w:rPr>
        <w:t xml:space="preserve"> </w:t>
      </w:r>
    </w:p>
    <w:p w14:paraId="71B1F935" w14:textId="77CCCE10"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u w:val="single"/>
        </w:rPr>
        <w:t>Packaging Business</w:t>
      </w:r>
      <w:r w:rsidRPr="00D11976">
        <w:rPr>
          <w:rFonts w:asciiTheme="minorBidi" w:hAnsiTheme="minorBidi" w:cstheme="minorBidi"/>
          <w:sz w:val="32"/>
          <w:szCs w:val="32"/>
        </w:rPr>
        <w:t xml:space="preserve"> showed outstanding growth with good scalability potential in line with the domestic</w:t>
      </w:r>
      <w:r w:rsidR="005E22F4" w:rsidRPr="00D11976">
        <w:rPr>
          <w:rFonts w:asciiTheme="minorBidi" w:hAnsiTheme="minorBidi" w:cstheme="minorBidi"/>
          <w:sz w:val="32"/>
          <w:szCs w:val="32"/>
        </w:rPr>
        <w:t xml:space="preserve"> </w:t>
      </w:r>
      <w:r w:rsidRPr="00D11976">
        <w:rPr>
          <w:rFonts w:asciiTheme="minorBidi" w:hAnsiTheme="minorBidi" w:cstheme="minorBidi"/>
          <w:sz w:val="32"/>
          <w:szCs w:val="32"/>
        </w:rPr>
        <w:t xml:space="preserve">and regional economic growth, particularly in ASEAN. This also includes other factors stemming from the e-commerce boom and growth in the </w:t>
      </w:r>
      <w:r w:rsidR="005E22F4" w:rsidRPr="00D11976">
        <w:rPr>
          <w:rFonts w:asciiTheme="minorBidi" w:hAnsiTheme="minorBidi" w:cstheme="minorBidi"/>
          <w:sz w:val="32"/>
          <w:szCs w:val="32"/>
        </w:rPr>
        <w:t xml:space="preserve">fast </w:t>
      </w:r>
      <w:r w:rsidRPr="00D11976">
        <w:rPr>
          <w:rFonts w:asciiTheme="minorBidi" w:hAnsiTheme="minorBidi" w:cstheme="minorBidi"/>
          <w:sz w:val="32"/>
          <w:szCs w:val="32"/>
        </w:rPr>
        <w:t>food industry. SCG focuses on accelerating business growth by expanding production capacity in the Philippines’s UPPC factory and Vietnam’s BATICO factory on top of acquiring shares of Fajar, a major Indonesian packaging paper manufacturer.</w:t>
      </w:r>
    </w:p>
    <w:p w14:paraId="53B266C1" w14:textId="42DA2C91"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rPr>
        <w:t>To ensure</w:t>
      </w:r>
      <w:r w:rsidRPr="00D11976">
        <w:rPr>
          <w:rFonts w:asciiTheme="minorBidi" w:hAnsiTheme="minorBidi" w:cstheme="minorBidi"/>
          <w:b/>
          <w:bCs/>
          <w:sz w:val="32"/>
          <w:szCs w:val="32"/>
        </w:rPr>
        <w:t xml:space="preserve"> Stability</w:t>
      </w:r>
      <w:r w:rsidRPr="00D11976">
        <w:rPr>
          <w:rFonts w:asciiTheme="minorBidi" w:hAnsiTheme="minorBidi" w:cstheme="minorBidi"/>
          <w:sz w:val="32"/>
          <w:szCs w:val="32"/>
        </w:rPr>
        <w:t xml:space="preserve">, SCG lays stress on </w:t>
      </w:r>
      <w:r w:rsidR="00EB0604" w:rsidRPr="00D11976">
        <w:rPr>
          <w:rFonts w:asciiTheme="minorBidi" w:hAnsiTheme="minorBidi" w:cstheme="minorBidi"/>
          <w:sz w:val="32"/>
          <w:szCs w:val="32"/>
        </w:rPr>
        <w:t>b</w:t>
      </w:r>
      <w:r w:rsidRPr="00D11976">
        <w:rPr>
          <w:rFonts w:asciiTheme="minorBidi" w:hAnsiTheme="minorBidi" w:cstheme="minorBidi"/>
          <w:sz w:val="32"/>
          <w:szCs w:val="32"/>
        </w:rPr>
        <w:t xml:space="preserve">usiness's proper liquidity management by </w:t>
      </w:r>
      <w:r w:rsidRPr="00D11976">
        <w:rPr>
          <w:rFonts w:asciiTheme="minorBidi" w:hAnsiTheme="minorBidi" w:cstheme="minorBidi"/>
          <w:sz w:val="32"/>
          <w:szCs w:val="32"/>
          <w:u w:val="single"/>
        </w:rPr>
        <w:t xml:space="preserve">maintaining working capital </w:t>
      </w:r>
      <w:r w:rsidRPr="00D11976">
        <w:rPr>
          <w:rFonts w:asciiTheme="minorBidi" w:hAnsiTheme="minorBidi" w:cstheme="minorBidi"/>
          <w:sz w:val="32"/>
          <w:szCs w:val="32"/>
        </w:rPr>
        <w:t xml:space="preserve">at an appropriate level. By the end of the second quarter of 2019, SCG has cash &amp; cash under management totaled </w:t>
      </w:r>
      <w:r w:rsidR="005E22F4" w:rsidRPr="00D11976">
        <w:rPr>
          <w:rFonts w:asciiTheme="minorBidi" w:hAnsiTheme="minorBidi" w:cstheme="minorBidi"/>
          <w:sz w:val="32"/>
          <w:szCs w:val="32"/>
        </w:rPr>
        <w:t>42,573</w:t>
      </w:r>
      <w:r w:rsidRPr="00D11976">
        <w:rPr>
          <w:rFonts w:asciiTheme="minorBidi" w:hAnsiTheme="minorBidi" w:cstheme="minorBidi"/>
          <w:sz w:val="32"/>
          <w:szCs w:val="32"/>
        </w:rPr>
        <w:t xml:space="preserve"> MB, in line with the investment plans and uncertain business environment. This includes </w:t>
      </w:r>
      <w:r w:rsidRPr="00D11976">
        <w:rPr>
          <w:rFonts w:asciiTheme="minorBidi" w:hAnsiTheme="minorBidi" w:cstheme="minorBidi"/>
          <w:sz w:val="32"/>
          <w:szCs w:val="32"/>
          <w:u w:val="single"/>
        </w:rPr>
        <w:t>the reviewing the investment projects</w:t>
      </w:r>
      <w:r w:rsidRPr="00D11976">
        <w:rPr>
          <w:rFonts w:asciiTheme="minorBidi" w:hAnsiTheme="minorBidi" w:cstheme="minorBidi"/>
          <w:sz w:val="32"/>
          <w:szCs w:val="32"/>
        </w:rPr>
        <w:t xml:space="preserve"> where SCG focusing on projects that can rapidly generate values. Examples include the acquisition of Fajar shares in which its operating performance will be combined with SCG's Packaging Business in the third quarter of 2019. The ongoing investment projects such as Vietnam Long Son Petrochemical (LSP) are pulled ahead to meet the planned schedule.</w:t>
      </w:r>
    </w:p>
    <w:p w14:paraId="7E1CE7BB" w14:textId="7D1E8625"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rPr>
        <w:lastRenderedPageBreak/>
        <w:t xml:space="preserve">Besides, the Company has </w:t>
      </w:r>
      <w:r w:rsidR="005E22F4" w:rsidRPr="00D11976">
        <w:rPr>
          <w:rFonts w:asciiTheme="minorBidi" w:hAnsiTheme="minorBidi" w:cstheme="minorBidi"/>
          <w:sz w:val="32"/>
          <w:szCs w:val="32"/>
          <w:u w:val="single"/>
        </w:rPr>
        <w:t xml:space="preserve">increased </w:t>
      </w:r>
      <w:r w:rsidRPr="00D11976">
        <w:rPr>
          <w:rFonts w:asciiTheme="minorBidi" w:hAnsiTheme="minorBidi" w:cstheme="minorBidi"/>
          <w:sz w:val="32"/>
          <w:szCs w:val="32"/>
          <w:u w:val="single"/>
        </w:rPr>
        <w:t xml:space="preserve">energy </w:t>
      </w:r>
      <w:r w:rsidR="005E22F4" w:rsidRPr="00D11976">
        <w:rPr>
          <w:rFonts w:asciiTheme="minorBidi" w:hAnsiTheme="minorBidi" w:cstheme="minorBidi"/>
          <w:sz w:val="32"/>
          <w:szCs w:val="32"/>
          <w:u w:val="single"/>
        </w:rPr>
        <w:t>efficiency</w:t>
      </w:r>
      <w:r w:rsidRPr="00D11976">
        <w:rPr>
          <w:rFonts w:asciiTheme="minorBidi" w:hAnsiTheme="minorBidi" w:cstheme="minorBidi"/>
          <w:sz w:val="32"/>
          <w:szCs w:val="32"/>
        </w:rPr>
        <w:t xml:space="preserve"> by promoting a series of renewable energy usage in the plants. Initiatives include onsite solar panel installation, which can generate 77 megawatts of electricity, reducing the use of external sources, and saving approximately 350 MB per year. Another scheme is the waste-to-energy approach, such as power generation from waste in paper manufacturing. The measure can produce 9.6 megawatts of electricity. Also, SCG has sought </w:t>
      </w:r>
      <w:r w:rsidRPr="00D11976">
        <w:rPr>
          <w:rFonts w:asciiTheme="minorBidi" w:hAnsiTheme="minorBidi" w:cstheme="minorBidi"/>
          <w:sz w:val="32"/>
          <w:szCs w:val="32"/>
          <w:u w:val="single"/>
        </w:rPr>
        <w:t>enhancements of manufacturing effectiveness and cost reduction initiatives with the help of technology</w:t>
      </w:r>
      <w:r w:rsidRPr="00D11976">
        <w:rPr>
          <w:rFonts w:asciiTheme="minorBidi" w:hAnsiTheme="minorBidi" w:cstheme="minorBidi"/>
          <w:sz w:val="32"/>
          <w:szCs w:val="32"/>
        </w:rPr>
        <w:t>. On top of that, SCG has embraced collaborations to develop di</w:t>
      </w:r>
      <w:r w:rsidR="00B07442" w:rsidRPr="00D11976">
        <w:rPr>
          <w:rFonts w:asciiTheme="minorBidi" w:hAnsiTheme="minorBidi" w:cstheme="minorBidi"/>
          <w:sz w:val="32"/>
          <w:szCs w:val="32"/>
        </w:rPr>
        <w:t>gital technologies</w:t>
      </w:r>
      <w:r w:rsidRPr="00D11976">
        <w:rPr>
          <w:rFonts w:asciiTheme="minorBidi" w:hAnsiTheme="minorBidi" w:cstheme="minorBidi"/>
          <w:sz w:val="32"/>
          <w:szCs w:val="32"/>
        </w:rPr>
        <w:t>. Alongside startup venture, SCG has encouraged in-house startups and forged more collaborations to develop deep tech</w:t>
      </w:r>
      <w:r w:rsidR="00F93A5B" w:rsidRPr="00D11976">
        <w:rPr>
          <w:rFonts w:asciiTheme="minorBidi" w:hAnsiTheme="minorBidi" w:cstheme="minorBidi"/>
          <w:sz w:val="32"/>
          <w:szCs w:val="32"/>
        </w:rPr>
        <w:t xml:space="preserve">nologies </w:t>
      </w:r>
      <w:r w:rsidRPr="00D11976">
        <w:rPr>
          <w:rFonts w:asciiTheme="minorBidi" w:hAnsiTheme="minorBidi" w:cstheme="minorBidi"/>
          <w:sz w:val="32"/>
          <w:szCs w:val="32"/>
        </w:rPr>
        <w:t>to streamline operations of all SCG core business units.</w:t>
      </w:r>
    </w:p>
    <w:p w14:paraId="35F2E72C" w14:textId="1A5C5DAB" w:rsidR="009831B3" w:rsidRPr="00D11976" w:rsidRDefault="009831B3" w:rsidP="009C5622">
      <w:pPr>
        <w:ind w:firstLine="720"/>
        <w:jc w:val="thaiDistribute"/>
        <w:rPr>
          <w:rFonts w:asciiTheme="minorBidi" w:hAnsiTheme="minorBidi" w:cstheme="minorBidi"/>
          <w:sz w:val="32"/>
          <w:szCs w:val="32"/>
        </w:rPr>
      </w:pPr>
      <w:r w:rsidRPr="00D11976">
        <w:rPr>
          <w:rFonts w:asciiTheme="minorBidi" w:hAnsiTheme="minorBidi" w:cstheme="minorBidi"/>
          <w:sz w:val="32"/>
          <w:szCs w:val="32"/>
        </w:rPr>
        <w:t xml:space="preserve">SCG also underlines </w:t>
      </w:r>
      <w:r w:rsidRPr="00D11976">
        <w:rPr>
          <w:rFonts w:asciiTheme="minorBidi" w:hAnsiTheme="minorBidi" w:cstheme="minorBidi"/>
          <w:sz w:val="32"/>
          <w:szCs w:val="32"/>
          <w:u w:val="single"/>
        </w:rPr>
        <w:t>increasing export opportunities following the global market</w:t>
      </w:r>
      <w:r w:rsidRPr="00D11976">
        <w:rPr>
          <w:rFonts w:asciiTheme="minorBidi" w:hAnsiTheme="minorBidi" w:cstheme="minorBidi"/>
          <w:sz w:val="32"/>
          <w:szCs w:val="32"/>
        </w:rPr>
        <w:t>. Examples include Packaging Business exporting to China and ASEAN countries, Cement-Building Materials Business exporting ceiling and walls to South Korea with an expansion plan to Europe in sight</w:t>
      </w:r>
      <w:r w:rsidR="00FA6F2E" w:rsidRPr="00D11976">
        <w:rPr>
          <w:rFonts w:asciiTheme="minorBidi" w:hAnsiTheme="minorBidi" w:cstheme="minorBidi"/>
          <w:sz w:val="32"/>
          <w:szCs w:val="32"/>
        </w:rPr>
        <w:t xml:space="preserve">,”  </w:t>
      </w:r>
      <w:r w:rsidR="00F93A5B" w:rsidRPr="00D11976">
        <w:rPr>
          <w:rFonts w:asciiTheme="minorBidi" w:hAnsiTheme="minorBidi" w:cstheme="minorBidi"/>
          <w:sz w:val="32"/>
          <w:szCs w:val="32"/>
        </w:rPr>
        <w:t xml:space="preserve">                      </w:t>
      </w:r>
      <w:r w:rsidRPr="00D11976">
        <w:rPr>
          <w:rFonts w:asciiTheme="minorBidi" w:hAnsiTheme="minorBidi" w:cstheme="minorBidi"/>
          <w:sz w:val="32"/>
          <w:szCs w:val="32"/>
        </w:rPr>
        <w:t xml:space="preserve">Mr. Roongrote concluded. </w:t>
      </w:r>
    </w:p>
    <w:p w14:paraId="429B4EBD" w14:textId="71C7BE15" w:rsidR="009831B3" w:rsidRPr="00D11976" w:rsidRDefault="009831B3" w:rsidP="009C5622">
      <w:pPr>
        <w:ind w:firstLine="720"/>
        <w:jc w:val="thaiDistribute"/>
        <w:rPr>
          <w:rFonts w:asciiTheme="minorBidi" w:hAnsiTheme="minorBidi" w:cstheme="minorBidi"/>
          <w:sz w:val="32"/>
          <w:szCs w:val="32"/>
          <w:lang w:eastAsia="ja-JP"/>
        </w:rPr>
      </w:pPr>
      <w:r w:rsidRPr="00D11976">
        <w:rPr>
          <w:rFonts w:asciiTheme="minorBidi" w:hAnsiTheme="minorBidi" w:cstheme="minorBidi"/>
          <w:sz w:val="32"/>
          <w:szCs w:val="32"/>
          <w:lang w:eastAsia="ja-JP"/>
        </w:rPr>
        <w:t xml:space="preserve">In addition, The Board of Directors of SCG has approved a H1/2019 interim dividend payment of </w:t>
      </w:r>
      <w:r w:rsidR="00EB0604" w:rsidRPr="00D11976">
        <w:rPr>
          <w:rFonts w:asciiTheme="minorBidi" w:hAnsiTheme="minorBidi" w:cstheme="minorBidi"/>
          <w:sz w:val="32"/>
          <w:szCs w:val="32"/>
          <w:lang w:eastAsia="ja-JP"/>
        </w:rPr>
        <w:t>7</w:t>
      </w:r>
      <w:r w:rsidRPr="00D11976">
        <w:rPr>
          <w:rFonts w:asciiTheme="minorBidi" w:hAnsiTheme="minorBidi" w:cstheme="minorBidi"/>
          <w:sz w:val="32"/>
          <w:szCs w:val="32"/>
          <w:lang w:eastAsia="ja-JP"/>
        </w:rPr>
        <w:t>.</w:t>
      </w:r>
      <w:r w:rsidR="00EB0604" w:rsidRPr="00D11976">
        <w:rPr>
          <w:rFonts w:asciiTheme="minorBidi" w:hAnsiTheme="minorBidi" w:cstheme="minorBidi"/>
          <w:sz w:val="32"/>
          <w:szCs w:val="32"/>
          <w:lang w:eastAsia="ja-JP"/>
        </w:rPr>
        <w:t>00</w:t>
      </w:r>
      <w:r w:rsidRPr="00D11976">
        <w:rPr>
          <w:rFonts w:asciiTheme="minorBidi" w:hAnsiTheme="minorBidi" w:cstheme="minorBidi"/>
          <w:sz w:val="32"/>
          <w:szCs w:val="32"/>
          <w:lang w:eastAsia="ja-JP"/>
        </w:rPr>
        <w:t xml:space="preserve"> Baht per share (</w:t>
      </w:r>
      <w:r w:rsidR="00F06AD0" w:rsidRPr="00D11976">
        <w:rPr>
          <w:rFonts w:asciiTheme="minorBidi" w:hAnsiTheme="minorBidi" w:cstheme="minorBidi"/>
          <w:sz w:val="32"/>
          <w:szCs w:val="32"/>
          <w:lang w:eastAsia="ja-JP"/>
        </w:rPr>
        <w:t xml:space="preserve">8,400 </w:t>
      </w:r>
      <w:r w:rsidRPr="00D11976">
        <w:rPr>
          <w:rFonts w:asciiTheme="minorBidi" w:hAnsiTheme="minorBidi" w:cstheme="minorBidi"/>
          <w:sz w:val="32"/>
          <w:szCs w:val="32"/>
          <w:lang w:eastAsia="ja-JP"/>
        </w:rPr>
        <w:t xml:space="preserve">MB), which is payable on August </w:t>
      </w:r>
      <w:r w:rsidR="00F06AD0" w:rsidRPr="00D11976">
        <w:rPr>
          <w:rFonts w:asciiTheme="minorBidi" w:hAnsiTheme="minorBidi" w:cstheme="minorBidi"/>
          <w:sz w:val="32"/>
          <w:szCs w:val="32"/>
          <w:lang w:eastAsia="ja-JP"/>
        </w:rPr>
        <w:t>23</w:t>
      </w:r>
      <w:r w:rsidRPr="00D11976">
        <w:rPr>
          <w:rFonts w:asciiTheme="minorBidi" w:hAnsiTheme="minorBidi" w:cstheme="minorBidi"/>
          <w:sz w:val="32"/>
          <w:szCs w:val="32"/>
          <w:lang w:eastAsia="ja-JP"/>
        </w:rPr>
        <w:t xml:space="preserve">, 2019, XD-date on August </w:t>
      </w:r>
      <w:r w:rsidR="00F06AD0" w:rsidRPr="00D11976">
        <w:rPr>
          <w:rFonts w:asciiTheme="minorBidi" w:hAnsiTheme="minorBidi" w:cstheme="minorBidi"/>
          <w:sz w:val="32"/>
          <w:szCs w:val="32"/>
          <w:lang w:eastAsia="ja-JP"/>
        </w:rPr>
        <w:t>8</w:t>
      </w:r>
      <w:r w:rsidRPr="00D11976">
        <w:rPr>
          <w:rFonts w:asciiTheme="minorBidi" w:hAnsiTheme="minorBidi" w:cstheme="minorBidi"/>
          <w:sz w:val="32"/>
          <w:szCs w:val="32"/>
          <w:lang w:eastAsia="ja-JP"/>
        </w:rPr>
        <w:t xml:space="preserve">, 2019 and record date on August </w:t>
      </w:r>
      <w:r w:rsidR="00F06AD0" w:rsidRPr="00D11976">
        <w:rPr>
          <w:rFonts w:asciiTheme="minorBidi" w:hAnsiTheme="minorBidi" w:cstheme="minorBidi"/>
          <w:sz w:val="32"/>
          <w:szCs w:val="32"/>
          <w:lang w:eastAsia="ja-JP"/>
        </w:rPr>
        <w:t>9</w:t>
      </w:r>
      <w:r w:rsidRPr="00D11976">
        <w:rPr>
          <w:rFonts w:asciiTheme="minorBidi" w:hAnsiTheme="minorBidi" w:cstheme="minorBidi"/>
          <w:sz w:val="32"/>
          <w:szCs w:val="32"/>
          <w:lang w:eastAsia="ja-JP"/>
        </w:rPr>
        <w:t>, 2019.</w:t>
      </w:r>
    </w:p>
    <w:p w14:paraId="2D826DC8" w14:textId="77777777" w:rsidR="00406227" w:rsidRPr="00D11976" w:rsidRDefault="00406227" w:rsidP="00C101C8">
      <w:pPr>
        <w:jc w:val="thaiDistribute"/>
        <w:rPr>
          <w:rFonts w:asciiTheme="minorBidi" w:hAnsiTheme="minorBidi" w:cstheme="minorBidi"/>
          <w:sz w:val="32"/>
          <w:szCs w:val="32"/>
          <w:lang w:eastAsia="ja-JP"/>
        </w:rPr>
      </w:pPr>
    </w:p>
    <w:p w14:paraId="5DCF0272" w14:textId="699DBB9C" w:rsidR="00406227" w:rsidRPr="00D11976" w:rsidRDefault="00406227" w:rsidP="009C5622">
      <w:pPr>
        <w:jc w:val="center"/>
        <w:rPr>
          <w:rFonts w:asciiTheme="minorBidi" w:hAnsiTheme="minorBidi" w:cstheme="minorBidi"/>
          <w:sz w:val="32"/>
          <w:szCs w:val="32"/>
          <w:cs/>
          <w:lang w:eastAsia="ja-JP"/>
        </w:rPr>
      </w:pPr>
      <w:r w:rsidRPr="00D11976">
        <w:rPr>
          <w:rFonts w:asciiTheme="minorBidi" w:hAnsiTheme="minorBidi" w:cstheme="minorBidi"/>
          <w:sz w:val="32"/>
          <w:szCs w:val="32"/>
          <w:cs/>
          <w:lang w:eastAsia="ja-JP"/>
        </w:rPr>
        <w:t>******************************************************************</w:t>
      </w:r>
    </w:p>
    <w:p w14:paraId="5B2874A3" w14:textId="77777777" w:rsidR="009831B3" w:rsidRPr="00D11976" w:rsidRDefault="009831B3" w:rsidP="00C101C8">
      <w:pPr>
        <w:jc w:val="thaiDistribute"/>
        <w:rPr>
          <w:rFonts w:asciiTheme="minorBidi" w:hAnsiTheme="minorBidi" w:cstheme="minorBidi"/>
          <w:sz w:val="32"/>
          <w:szCs w:val="32"/>
        </w:rPr>
      </w:pPr>
    </w:p>
    <w:p w14:paraId="0FA97C96" w14:textId="77777777" w:rsidR="009831B3" w:rsidRPr="00D11976" w:rsidRDefault="009831B3" w:rsidP="00C101C8">
      <w:pPr>
        <w:jc w:val="thaiDistribute"/>
        <w:rPr>
          <w:rFonts w:asciiTheme="minorBidi" w:hAnsiTheme="minorBidi" w:cstheme="minorBidi"/>
          <w:sz w:val="32"/>
          <w:szCs w:val="32"/>
          <w:u w:color="FF0000"/>
        </w:rPr>
      </w:pPr>
    </w:p>
    <w:sectPr w:rsidR="009831B3" w:rsidRPr="00D11976" w:rsidSect="00967599">
      <w:pgSz w:w="11906" w:h="16838"/>
      <w:pgMar w:top="993" w:right="1274" w:bottom="567" w:left="1134" w:header="27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AD72F" w14:textId="77777777" w:rsidR="003970DF" w:rsidRDefault="003970DF" w:rsidP="001A0A77">
      <w:r>
        <w:separator/>
      </w:r>
    </w:p>
  </w:endnote>
  <w:endnote w:type="continuationSeparator" w:id="0">
    <w:p w14:paraId="16399EAF" w14:textId="77777777" w:rsidR="003970DF" w:rsidRDefault="003970DF"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D2C31" w14:textId="77777777" w:rsidR="003970DF" w:rsidRDefault="003970DF" w:rsidP="001A0A77">
      <w:r>
        <w:separator/>
      </w:r>
    </w:p>
  </w:footnote>
  <w:footnote w:type="continuationSeparator" w:id="0">
    <w:p w14:paraId="6A84F87D" w14:textId="77777777" w:rsidR="003970DF" w:rsidRDefault="003970DF" w:rsidP="001A0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F35"/>
    <w:rsid w:val="0000260A"/>
    <w:rsid w:val="00002A1E"/>
    <w:rsid w:val="0000736A"/>
    <w:rsid w:val="00011F86"/>
    <w:rsid w:val="000163D4"/>
    <w:rsid w:val="00017F60"/>
    <w:rsid w:val="00020225"/>
    <w:rsid w:val="00021770"/>
    <w:rsid w:val="0002368C"/>
    <w:rsid w:val="000239A6"/>
    <w:rsid w:val="00025E7C"/>
    <w:rsid w:val="0002710B"/>
    <w:rsid w:val="00036EFB"/>
    <w:rsid w:val="0003786C"/>
    <w:rsid w:val="00043148"/>
    <w:rsid w:val="00044DA1"/>
    <w:rsid w:val="0004504E"/>
    <w:rsid w:val="0004703A"/>
    <w:rsid w:val="000509D1"/>
    <w:rsid w:val="00051ECD"/>
    <w:rsid w:val="00054EDC"/>
    <w:rsid w:val="000555C6"/>
    <w:rsid w:val="00055736"/>
    <w:rsid w:val="00062061"/>
    <w:rsid w:val="00062913"/>
    <w:rsid w:val="000632B9"/>
    <w:rsid w:val="00063334"/>
    <w:rsid w:val="00065AEF"/>
    <w:rsid w:val="00066BDB"/>
    <w:rsid w:val="00070275"/>
    <w:rsid w:val="00071F2E"/>
    <w:rsid w:val="00072966"/>
    <w:rsid w:val="00072DBA"/>
    <w:rsid w:val="0007396D"/>
    <w:rsid w:val="0007446B"/>
    <w:rsid w:val="00074621"/>
    <w:rsid w:val="000748E4"/>
    <w:rsid w:val="00077686"/>
    <w:rsid w:val="00081241"/>
    <w:rsid w:val="000827D1"/>
    <w:rsid w:val="00084A7F"/>
    <w:rsid w:val="00084BAE"/>
    <w:rsid w:val="000901D8"/>
    <w:rsid w:val="000910EE"/>
    <w:rsid w:val="000938F8"/>
    <w:rsid w:val="00095E93"/>
    <w:rsid w:val="000A1972"/>
    <w:rsid w:val="000A1C5C"/>
    <w:rsid w:val="000A2763"/>
    <w:rsid w:val="000A4E48"/>
    <w:rsid w:val="000A4F39"/>
    <w:rsid w:val="000A4F85"/>
    <w:rsid w:val="000A545B"/>
    <w:rsid w:val="000A5D15"/>
    <w:rsid w:val="000A7313"/>
    <w:rsid w:val="000A7469"/>
    <w:rsid w:val="000B4321"/>
    <w:rsid w:val="000B65AC"/>
    <w:rsid w:val="000B6CCE"/>
    <w:rsid w:val="000C0041"/>
    <w:rsid w:val="000C1DE5"/>
    <w:rsid w:val="000C32A2"/>
    <w:rsid w:val="000C5CFB"/>
    <w:rsid w:val="000C6E5D"/>
    <w:rsid w:val="000C784A"/>
    <w:rsid w:val="000D11D8"/>
    <w:rsid w:val="000D16BA"/>
    <w:rsid w:val="000E06DB"/>
    <w:rsid w:val="000E13E8"/>
    <w:rsid w:val="000E2DB2"/>
    <w:rsid w:val="000E5A4F"/>
    <w:rsid w:val="000E6124"/>
    <w:rsid w:val="000F257F"/>
    <w:rsid w:val="000F5E81"/>
    <w:rsid w:val="000F6303"/>
    <w:rsid w:val="001005E5"/>
    <w:rsid w:val="00100932"/>
    <w:rsid w:val="00100A6A"/>
    <w:rsid w:val="0010240A"/>
    <w:rsid w:val="00102CC7"/>
    <w:rsid w:val="00105E26"/>
    <w:rsid w:val="00111808"/>
    <w:rsid w:val="00112556"/>
    <w:rsid w:val="001132BC"/>
    <w:rsid w:val="00114516"/>
    <w:rsid w:val="0011602F"/>
    <w:rsid w:val="0012153D"/>
    <w:rsid w:val="00122503"/>
    <w:rsid w:val="00125AFC"/>
    <w:rsid w:val="0013175A"/>
    <w:rsid w:val="00132CF0"/>
    <w:rsid w:val="00133201"/>
    <w:rsid w:val="001340EB"/>
    <w:rsid w:val="00135556"/>
    <w:rsid w:val="00141F9E"/>
    <w:rsid w:val="001421FB"/>
    <w:rsid w:val="001528A3"/>
    <w:rsid w:val="00156107"/>
    <w:rsid w:val="00157E77"/>
    <w:rsid w:val="0016219C"/>
    <w:rsid w:val="001648E6"/>
    <w:rsid w:val="00164E9C"/>
    <w:rsid w:val="00167284"/>
    <w:rsid w:val="00167A06"/>
    <w:rsid w:val="00170129"/>
    <w:rsid w:val="0017044A"/>
    <w:rsid w:val="001767D0"/>
    <w:rsid w:val="001809CC"/>
    <w:rsid w:val="00182C9F"/>
    <w:rsid w:val="0018359D"/>
    <w:rsid w:val="00190FF8"/>
    <w:rsid w:val="0019532A"/>
    <w:rsid w:val="00196AF3"/>
    <w:rsid w:val="001970B1"/>
    <w:rsid w:val="00197839"/>
    <w:rsid w:val="001A0612"/>
    <w:rsid w:val="001A0A77"/>
    <w:rsid w:val="001A0A92"/>
    <w:rsid w:val="001A0E65"/>
    <w:rsid w:val="001A0EA0"/>
    <w:rsid w:val="001A0F0C"/>
    <w:rsid w:val="001A207F"/>
    <w:rsid w:val="001A2DAC"/>
    <w:rsid w:val="001A4D98"/>
    <w:rsid w:val="001A7B30"/>
    <w:rsid w:val="001B0961"/>
    <w:rsid w:val="001B0AE8"/>
    <w:rsid w:val="001B0DE1"/>
    <w:rsid w:val="001B2240"/>
    <w:rsid w:val="001B34D9"/>
    <w:rsid w:val="001B4DC9"/>
    <w:rsid w:val="001B73ED"/>
    <w:rsid w:val="001C1F8C"/>
    <w:rsid w:val="001C210C"/>
    <w:rsid w:val="001C2A63"/>
    <w:rsid w:val="001C37DA"/>
    <w:rsid w:val="001C4BEA"/>
    <w:rsid w:val="001D08B7"/>
    <w:rsid w:val="001D0B89"/>
    <w:rsid w:val="001D19CF"/>
    <w:rsid w:val="001D20C1"/>
    <w:rsid w:val="001D25CA"/>
    <w:rsid w:val="001D2B1E"/>
    <w:rsid w:val="001D2D5D"/>
    <w:rsid w:val="001D2DC5"/>
    <w:rsid w:val="001D3963"/>
    <w:rsid w:val="001D3E86"/>
    <w:rsid w:val="001D461F"/>
    <w:rsid w:val="001E4901"/>
    <w:rsid w:val="001E5892"/>
    <w:rsid w:val="001E76D5"/>
    <w:rsid w:val="001E781E"/>
    <w:rsid w:val="001F08BE"/>
    <w:rsid w:val="001F2CF9"/>
    <w:rsid w:val="001F3F35"/>
    <w:rsid w:val="001F4638"/>
    <w:rsid w:val="001F4D31"/>
    <w:rsid w:val="001F56A8"/>
    <w:rsid w:val="001F6524"/>
    <w:rsid w:val="00202AF5"/>
    <w:rsid w:val="002064C6"/>
    <w:rsid w:val="00212309"/>
    <w:rsid w:val="002127B7"/>
    <w:rsid w:val="00214BE9"/>
    <w:rsid w:val="00216572"/>
    <w:rsid w:val="00216582"/>
    <w:rsid w:val="0021722C"/>
    <w:rsid w:val="00217DB7"/>
    <w:rsid w:val="00220C6D"/>
    <w:rsid w:val="00222444"/>
    <w:rsid w:val="00222902"/>
    <w:rsid w:val="002234BD"/>
    <w:rsid w:val="00224DCE"/>
    <w:rsid w:val="00226340"/>
    <w:rsid w:val="00227E66"/>
    <w:rsid w:val="002328D4"/>
    <w:rsid w:val="00232DAC"/>
    <w:rsid w:val="00235A19"/>
    <w:rsid w:val="00236E79"/>
    <w:rsid w:val="00240B08"/>
    <w:rsid w:val="00251E5C"/>
    <w:rsid w:val="002549BC"/>
    <w:rsid w:val="00255A66"/>
    <w:rsid w:val="0025602B"/>
    <w:rsid w:val="0025630F"/>
    <w:rsid w:val="00261430"/>
    <w:rsid w:val="002618AC"/>
    <w:rsid w:val="00261E38"/>
    <w:rsid w:val="00262082"/>
    <w:rsid w:val="002620AF"/>
    <w:rsid w:val="0026258D"/>
    <w:rsid w:val="00262975"/>
    <w:rsid w:val="00262E2D"/>
    <w:rsid w:val="002646C0"/>
    <w:rsid w:val="002649FD"/>
    <w:rsid w:val="002655A1"/>
    <w:rsid w:val="002702EA"/>
    <w:rsid w:val="00271179"/>
    <w:rsid w:val="002716E7"/>
    <w:rsid w:val="00272852"/>
    <w:rsid w:val="00276CC6"/>
    <w:rsid w:val="0027727B"/>
    <w:rsid w:val="00281D20"/>
    <w:rsid w:val="0028662D"/>
    <w:rsid w:val="00290776"/>
    <w:rsid w:val="00290C04"/>
    <w:rsid w:val="00291C2A"/>
    <w:rsid w:val="00292E6E"/>
    <w:rsid w:val="002939B7"/>
    <w:rsid w:val="00297F1F"/>
    <w:rsid w:val="002A0E54"/>
    <w:rsid w:val="002A22B3"/>
    <w:rsid w:val="002B19AC"/>
    <w:rsid w:val="002B29CA"/>
    <w:rsid w:val="002B2C96"/>
    <w:rsid w:val="002B7697"/>
    <w:rsid w:val="002B7A8C"/>
    <w:rsid w:val="002C2CDC"/>
    <w:rsid w:val="002C3911"/>
    <w:rsid w:val="002C3D58"/>
    <w:rsid w:val="002C4322"/>
    <w:rsid w:val="002C65D5"/>
    <w:rsid w:val="002C7AC0"/>
    <w:rsid w:val="002D171B"/>
    <w:rsid w:val="002D2D3B"/>
    <w:rsid w:val="002D3302"/>
    <w:rsid w:val="002D3941"/>
    <w:rsid w:val="002D6BB0"/>
    <w:rsid w:val="002D78A5"/>
    <w:rsid w:val="002E0A69"/>
    <w:rsid w:val="002E24E6"/>
    <w:rsid w:val="002E6233"/>
    <w:rsid w:val="002E6257"/>
    <w:rsid w:val="002E666A"/>
    <w:rsid w:val="002E6D9A"/>
    <w:rsid w:val="002F3F68"/>
    <w:rsid w:val="002F5835"/>
    <w:rsid w:val="002F5BB1"/>
    <w:rsid w:val="002F68E5"/>
    <w:rsid w:val="002F7CD2"/>
    <w:rsid w:val="00301441"/>
    <w:rsid w:val="00304452"/>
    <w:rsid w:val="0030621A"/>
    <w:rsid w:val="00307075"/>
    <w:rsid w:val="003079E8"/>
    <w:rsid w:val="003119DC"/>
    <w:rsid w:val="003130EB"/>
    <w:rsid w:val="00313381"/>
    <w:rsid w:val="00313F1D"/>
    <w:rsid w:val="003157C2"/>
    <w:rsid w:val="00315E03"/>
    <w:rsid w:val="00321C0A"/>
    <w:rsid w:val="00326E51"/>
    <w:rsid w:val="00327086"/>
    <w:rsid w:val="0032798C"/>
    <w:rsid w:val="003315B7"/>
    <w:rsid w:val="00335FDF"/>
    <w:rsid w:val="003407A9"/>
    <w:rsid w:val="00341FF0"/>
    <w:rsid w:val="00343DB4"/>
    <w:rsid w:val="00344280"/>
    <w:rsid w:val="003443EC"/>
    <w:rsid w:val="003445C6"/>
    <w:rsid w:val="00344E35"/>
    <w:rsid w:val="0034551E"/>
    <w:rsid w:val="00345872"/>
    <w:rsid w:val="00351682"/>
    <w:rsid w:val="003518CC"/>
    <w:rsid w:val="00351C75"/>
    <w:rsid w:val="003526B9"/>
    <w:rsid w:val="00356660"/>
    <w:rsid w:val="00357492"/>
    <w:rsid w:val="003579EA"/>
    <w:rsid w:val="00357D6E"/>
    <w:rsid w:val="00361F15"/>
    <w:rsid w:val="00363881"/>
    <w:rsid w:val="00371C69"/>
    <w:rsid w:val="00373A97"/>
    <w:rsid w:val="00374A50"/>
    <w:rsid w:val="00375C9E"/>
    <w:rsid w:val="00375D48"/>
    <w:rsid w:val="003801EA"/>
    <w:rsid w:val="00381003"/>
    <w:rsid w:val="00381259"/>
    <w:rsid w:val="003818B2"/>
    <w:rsid w:val="003851ED"/>
    <w:rsid w:val="0038533B"/>
    <w:rsid w:val="00386B99"/>
    <w:rsid w:val="003872C5"/>
    <w:rsid w:val="00390C07"/>
    <w:rsid w:val="00393056"/>
    <w:rsid w:val="00393C40"/>
    <w:rsid w:val="00394EF9"/>
    <w:rsid w:val="003970DF"/>
    <w:rsid w:val="00397A71"/>
    <w:rsid w:val="003A3230"/>
    <w:rsid w:val="003A36B8"/>
    <w:rsid w:val="003A5A99"/>
    <w:rsid w:val="003A60DE"/>
    <w:rsid w:val="003B0730"/>
    <w:rsid w:val="003B43F4"/>
    <w:rsid w:val="003B637F"/>
    <w:rsid w:val="003B718B"/>
    <w:rsid w:val="003C247D"/>
    <w:rsid w:val="003C3FCA"/>
    <w:rsid w:val="003C7D2E"/>
    <w:rsid w:val="003D7C52"/>
    <w:rsid w:val="003E06C7"/>
    <w:rsid w:val="003E0DB3"/>
    <w:rsid w:val="003E2BCB"/>
    <w:rsid w:val="003E3356"/>
    <w:rsid w:val="003E49D2"/>
    <w:rsid w:val="003E4BF7"/>
    <w:rsid w:val="003E636A"/>
    <w:rsid w:val="003F08C2"/>
    <w:rsid w:val="003F1169"/>
    <w:rsid w:val="003F1ECA"/>
    <w:rsid w:val="003F3E33"/>
    <w:rsid w:val="003F3E44"/>
    <w:rsid w:val="003F6A69"/>
    <w:rsid w:val="003F6E4F"/>
    <w:rsid w:val="00401945"/>
    <w:rsid w:val="00403363"/>
    <w:rsid w:val="00406227"/>
    <w:rsid w:val="00406977"/>
    <w:rsid w:val="004073EA"/>
    <w:rsid w:val="00410CFE"/>
    <w:rsid w:val="00411E23"/>
    <w:rsid w:val="00413B22"/>
    <w:rsid w:val="0041718E"/>
    <w:rsid w:val="00422D6A"/>
    <w:rsid w:val="004233F8"/>
    <w:rsid w:val="00427AED"/>
    <w:rsid w:val="00431AA1"/>
    <w:rsid w:val="00440EE6"/>
    <w:rsid w:val="00442E35"/>
    <w:rsid w:val="00443260"/>
    <w:rsid w:val="0044365B"/>
    <w:rsid w:val="0044585A"/>
    <w:rsid w:val="00446CFF"/>
    <w:rsid w:val="0044711E"/>
    <w:rsid w:val="00453BFD"/>
    <w:rsid w:val="00461CCC"/>
    <w:rsid w:val="004718D9"/>
    <w:rsid w:val="00472052"/>
    <w:rsid w:val="00472547"/>
    <w:rsid w:val="0047326C"/>
    <w:rsid w:val="00474385"/>
    <w:rsid w:val="0048119A"/>
    <w:rsid w:val="00481E04"/>
    <w:rsid w:val="004831AF"/>
    <w:rsid w:val="0048451D"/>
    <w:rsid w:val="00487223"/>
    <w:rsid w:val="00491208"/>
    <w:rsid w:val="004915BE"/>
    <w:rsid w:val="00493E3B"/>
    <w:rsid w:val="004944FB"/>
    <w:rsid w:val="004953BC"/>
    <w:rsid w:val="00495B3E"/>
    <w:rsid w:val="004961EA"/>
    <w:rsid w:val="0049640A"/>
    <w:rsid w:val="004A020C"/>
    <w:rsid w:val="004A05C6"/>
    <w:rsid w:val="004A3426"/>
    <w:rsid w:val="004A6AB4"/>
    <w:rsid w:val="004A7FB9"/>
    <w:rsid w:val="004B100B"/>
    <w:rsid w:val="004B1013"/>
    <w:rsid w:val="004B3AFD"/>
    <w:rsid w:val="004B5BF3"/>
    <w:rsid w:val="004B68FA"/>
    <w:rsid w:val="004B7378"/>
    <w:rsid w:val="004B7FE8"/>
    <w:rsid w:val="004C390D"/>
    <w:rsid w:val="004C3E35"/>
    <w:rsid w:val="004C4076"/>
    <w:rsid w:val="004D117D"/>
    <w:rsid w:val="004D1922"/>
    <w:rsid w:val="004D5F3D"/>
    <w:rsid w:val="004D66E8"/>
    <w:rsid w:val="004D735F"/>
    <w:rsid w:val="004E306D"/>
    <w:rsid w:val="004E389D"/>
    <w:rsid w:val="004E668D"/>
    <w:rsid w:val="004E7019"/>
    <w:rsid w:val="004F1857"/>
    <w:rsid w:val="004F3DFA"/>
    <w:rsid w:val="004F6462"/>
    <w:rsid w:val="004F67B3"/>
    <w:rsid w:val="004F67DC"/>
    <w:rsid w:val="00505328"/>
    <w:rsid w:val="00513E50"/>
    <w:rsid w:val="00516AE1"/>
    <w:rsid w:val="0051746D"/>
    <w:rsid w:val="00520B7D"/>
    <w:rsid w:val="005214B5"/>
    <w:rsid w:val="00521E4D"/>
    <w:rsid w:val="0052225E"/>
    <w:rsid w:val="00531207"/>
    <w:rsid w:val="0053495C"/>
    <w:rsid w:val="0053618D"/>
    <w:rsid w:val="00536238"/>
    <w:rsid w:val="00540513"/>
    <w:rsid w:val="00542037"/>
    <w:rsid w:val="005433A3"/>
    <w:rsid w:val="005449DE"/>
    <w:rsid w:val="00547D00"/>
    <w:rsid w:val="0055043C"/>
    <w:rsid w:val="00550AE5"/>
    <w:rsid w:val="00552C14"/>
    <w:rsid w:val="00555533"/>
    <w:rsid w:val="00556B1A"/>
    <w:rsid w:val="00557621"/>
    <w:rsid w:val="00557C22"/>
    <w:rsid w:val="00561064"/>
    <w:rsid w:val="005652D1"/>
    <w:rsid w:val="00565372"/>
    <w:rsid w:val="00567DE3"/>
    <w:rsid w:val="00570637"/>
    <w:rsid w:val="005714C3"/>
    <w:rsid w:val="0057553C"/>
    <w:rsid w:val="00582F11"/>
    <w:rsid w:val="00583810"/>
    <w:rsid w:val="00590CC6"/>
    <w:rsid w:val="00594003"/>
    <w:rsid w:val="00595E9E"/>
    <w:rsid w:val="005A0B6D"/>
    <w:rsid w:val="005A16FB"/>
    <w:rsid w:val="005A191B"/>
    <w:rsid w:val="005A1F72"/>
    <w:rsid w:val="005A2BC0"/>
    <w:rsid w:val="005A38FF"/>
    <w:rsid w:val="005A5FA2"/>
    <w:rsid w:val="005B148E"/>
    <w:rsid w:val="005B1AAD"/>
    <w:rsid w:val="005B2987"/>
    <w:rsid w:val="005B6A4A"/>
    <w:rsid w:val="005B6AAB"/>
    <w:rsid w:val="005B7828"/>
    <w:rsid w:val="005C0B9E"/>
    <w:rsid w:val="005C1253"/>
    <w:rsid w:val="005C14E2"/>
    <w:rsid w:val="005C5F3B"/>
    <w:rsid w:val="005C7CDA"/>
    <w:rsid w:val="005D02F8"/>
    <w:rsid w:val="005D1FC1"/>
    <w:rsid w:val="005D3711"/>
    <w:rsid w:val="005D3E5E"/>
    <w:rsid w:val="005D4D55"/>
    <w:rsid w:val="005E22F4"/>
    <w:rsid w:val="005E3AB6"/>
    <w:rsid w:val="005E5826"/>
    <w:rsid w:val="005E5F98"/>
    <w:rsid w:val="005F248F"/>
    <w:rsid w:val="005F3DC7"/>
    <w:rsid w:val="005F665B"/>
    <w:rsid w:val="005F6A83"/>
    <w:rsid w:val="005F6FEF"/>
    <w:rsid w:val="00601E03"/>
    <w:rsid w:val="00601F71"/>
    <w:rsid w:val="006034B1"/>
    <w:rsid w:val="00604B0A"/>
    <w:rsid w:val="00604B99"/>
    <w:rsid w:val="00606298"/>
    <w:rsid w:val="006065B7"/>
    <w:rsid w:val="00606709"/>
    <w:rsid w:val="0060679C"/>
    <w:rsid w:val="006119FE"/>
    <w:rsid w:val="006136C2"/>
    <w:rsid w:val="00621250"/>
    <w:rsid w:val="0062166C"/>
    <w:rsid w:val="00623014"/>
    <w:rsid w:val="00624BF4"/>
    <w:rsid w:val="0062567D"/>
    <w:rsid w:val="0062661E"/>
    <w:rsid w:val="00626898"/>
    <w:rsid w:val="00627125"/>
    <w:rsid w:val="00627759"/>
    <w:rsid w:val="00627B9B"/>
    <w:rsid w:val="00632960"/>
    <w:rsid w:val="00640243"/>
    <w:rsid w:val="00644B6A"/>
    <w:rsid w:val="006450FE"/>
    <w:rsid w:val="0064656E"/>
    <w:rsid w:val="00647AB9"/>
    <w:rsid w:val="00650553"/>
    <w:rsid w:val="0065769C"/>
    <w:rsid w:val="00662CAD"/>
    <w:rsid w:val="00664201"/>
    <w:rsid w:val="00664A66"/>
    <w:rsid w:val="00665CFE"/>
    <w:rsid w:val="00666704"/>
    <w:rsid w:val="00667B0C"/>
    <w:rsid w:val="00670536"/>
    <w:rsid w:val="006718B5"/>
    <w:rsid w:val="00672067"/>
    <w:rsid w:val="00684425"/>
    <w:rsid w:val="006847FF"/>
    <w:rsid w:val="00685328"/>
    <w:rsid w:val="0069050A"/>
    <w:rsid w:val="006943E6"/>
    <w:rsid w:val="00695F2A"/>
    <w:rsid w:val="00696BDB"/>
    <w:rsid w:val="00696DAA"/>
    <w:rsid w:val="00697142"/>
    <w:rsid w:val="00697DCA"/>
    <w:rsid w:val="006A07B2"/>
    <w:rsid w:val="006A2613"/>
    <w:rsid w:val="006A3A6E"/>
    <w:rsid w:val="006A75A5"/>
    <w:rsid w:val="006A776B"/>
    <w:rsid w:val="006B0E78"/>
    <w:rsid w:val="006B1CDF"/>
    <w:rsid w:val="006B2C33"/>
    <w:rsid w:val="006B307E"/>
    <w:rsid w:val="006B4A64"/>
    <w:rsid w:val="006B59F0"/>
    <w:rsid w:val="006B6071"/>
    <w:rsid w:val="006C3ED3"/>
    <w:rsid w:val="006C5361"/>
    <w:rsid w:val="006C5881"/>
    <w:rsid w:val="006C6954"/>
    <w:rsid w:val="006C6ABF"/>
    <w:rsid w:val="006D1DBB"/>
    <w:rsid w:val="006D44CD"/>
    <w:rsid w:val="006E3028"/>
    <w:rsid w:val="006E31A7"/>
    <w:rsid w:val="006E3E6F"/>
    <w:rsid w:val="006E582B"/>
    <w:rsid w:val="006E71F1"/>
    <w:rsid w:val="006F176C"/>
    <w:rsid w:val="006F3037"/>
    <w:rsid w:val="006F3C6E"/>
    <w:rsid w:val="006F6023"/>
    <w:rsid w:val="006F642B"/>
    <w:rsid w:val="006F7998"/>
    <w:rsid w:val="00700855"/>
    <w:rsid w:val="00700CC1"/>
    <w:rsid w:val="00700D32"/>
    <w:rsid w:val="00701336"/>
    <w:rsid w:val="0070253E"/>
    <w:rsid w:val="0070405C"/>
    <w:rsid w:val="007040DB"/>
    <w:rsid w:val="00704DBA"/>
    <w:rsid w:val="00705EA0"/>
    <w:rsid w:val="007075EB"/>
    <w:rsid w:val="00712AC9"/>
    <w:rsid w:val="00713491"/>
    <w:rsid w:val="00715D38"/>
    <w:rsid w:val="00720000"/>
    <w:rsid w:val="007237A1"/>
    <w:rsid w:val="00723F08"/>
    <w:rsid w:val="00726535"/>
    <w:rsid w:val="00726A57"/>
    <w:rsid w:val="00726CB3"/>
    <w:rsid w:val="00726DA1"/>
    <w:rsid w:val="00727447"/>
    <w:rsid w:val="007306C1"/>
    <w:rsid w:val="00731041"/>
    <w:rsid w:val="00735A82"/>
    <w:rsid w:val="007403DB"/>
    <w:rsid w:val="00741062"/>
    <w:rsid w:val="00741582"/>
    <w:rsid w:val="00741BA8"/>
    <w:rsid w:val="00745054"/>
    <w:rsid w:val="00745557"/>
    <w:rsid w:val="007478C1"/>
    <w:rsid w:val="007562C5"/>
    <w:rsid w:val="007578E2"/>
    <w:rsid w:val="007603F3"/>
    <w:rsid w:val="00760E4A"/>
    <w:rsid w:val="00761D7E"/>
    <w:rsid w:val="00761F26"/>
    <w:rsid w:val="00764992"/>
    <w:rsid w:val="00767DFA"/>
    <w:rsid w:val="00770868"/>
    <w:rsid w:val="007719C1"/>
    <w:rsid w:val="007742AD"/>
    <w:rsid w:val="00776D5F"/>
    <w:rsid w:val="007801DB"/>
    <w:rsid w:val="00781491"/>
    <w:rsid w:val="00781CF3"/>
    <w:rsid w:val="0078324C"/>
    <w:rsid w:val="00786B8B"/>
    <w:rsid w:val="007873C5"/>
    <w:rsid w:val="00787D8F"/>
    <w:rsid w:val="00792350"/>
    <w:rsid w:val="00793660"/>
    <w:rsid w:val="0079375F"/>
    <w:rsid w:val="00794378"/>
    <w:rsid w:val="007A172E"/>
    <w:rsid w:val="007A18A6"/>
    <w:rsid w:val="007A2A75"/>
    <w:rsid w:val="007A40E2"/>
    <w:rsid w:val="007A448B"/>
    <w:rsid w:val="007A6585"/>
    <w:rsid w:val="007A66C8"/>
    <w:rsid w:val="007A6CAC"/>
    <w:rsid w:val="007B0889"/>
    <w:rsid w:val="007B101E"/>
    <w:rsid w:val="007B1297"/>
    <w:rsid w:val="007B232A"/>
    <w:rsid w:val="007B2E91"/>
    <w:rsid w:val="007B59A6"/>
    <w:rsid w:val="007B6C53"/>
    <w:rsid w:val="007C36E7"/>
    <w:rsid w:val="007C46C2"/>
    <w:rsid w:val="007C4A47"/>
    <w:rsid w:val="007D14A7"/>
    <w:rsid w:val="007D24F9"/>
    <w:rsid w:val="007D4A99"/>
    <w:rsid w:val="007D4DEE"/>
    <w:rsid w:val="007D4EAD"/>
    <w:rsid w:val="007E04B9"/>
    <w:rsid w:val="007E32D7"/>
    <w:rsid w:val="007E478F"/>
    <w:rsid w:val="007E4F55"/>
    <w:rsid w:val="007E528B"/>
    <w:rsid w:val="007E5DEC"/>
    <w:rsid w:val="007F38D2"/>
    <w:rsid w:val="007F3C0E"/>
    <w:rsid w:val="007F514C"/>
    <w:rsid w:val="007F5497"/>
    <w:rsid w:val="007F58A2"/>
    <w:rsid w:val="007F60B5"/>
    <w:rsid w:val="007F6E8B"/>
    <w:rsid w:val="008045AE"/>
    <w:rsid w:val="00804BDA"/>
    <w:rsid w:val="00807E57"/>
    <w:rsid w:val="00807E80"/>
    <w:rsid w:val="008107D2"/>
    <w:rsid w:val="00812EDB"/>
    <w:rsid w:val="00813B46"/>
    <w:rsid w:val="008167A5"/>
    <w:rsid w:val="00817169"/>
    <w:rsid w:val="00817225"/>
    <w:rsid w:val="00823502"/>
    <w:rsid w:val="00823C4F"/>
    <w:rsid w:val="008256EA"/>
    <w:rsid w:val="00827AFD"/>
    <w:rsid w:val="00830D8A"/>
    <w:rsid w:val="008316CF"/>
    <w:rsid w:val="00833640"/>
    <w:rsid w:val="00840D0A"/>
    <w:rsid w:val="00845943"/>
    <w:rsid w:val="008463A6"/>
    <w:rsid w:val="00851A50"/>
    <w:rsid w:val="00851B49"/>
    <w:rsid w:val="0085258B"/>
    <w:rsid w:val="00854D49"/>
    <w:rsid w:val="00856C8D"/>
    <w:rsid w:val="00856F2F"/>
    <w:rsid w:val="0086240D"/>
    <w:rsid w:val="008630ED"/>
    <w:rsid w:val="00865178"/>
    <w:rsid w:val="008657B3"/>
    <w:rsid w:val="008663C0"/>
    <w:rsid w:val="008672FE"/>
    <w:rsid w:val="00867A4F"/>
    <w:rsid w:val="00872A9C"/>
    <w:rsid w:val="008754AD"/>
    <w:rsid w:val="00877E82"/>
    <w:rsid w:val="00882188"/>
    <w:rsid w:val="0088229A"/>
    <w:rsid w:val="00884D11"/>
    <w:rsid w:val="008850D9"/>
    <w:rsid w:val="0089347A"/>
    <w:rsid w:val="00895E6C"/>
    <w:rsid w:val="00896BDD"/>
    <w:rsid w:val="0089716D"/>
    <w:rsid w:val="008973D5"/>
    <w:rsid w:val="008A0532"/>
    <w:rsid w:val="008A37B1"/>
    <w:rsid w:val="008A4B3C"/>
    <w:rsid w:val="008A5FF2"/>
    <w:rsid w:val="008A6A13"/>
    <w:rsid w:val="008A77D7"/>
    <w:rsid w:val="008A7B13"/>
    <w:rsid w:val="008B0623"/>
    <w:rsid w:val="008B2131"/>
    <w:rsid w:val="008B2620"/>
    <w:rsid w:val="008B3B8B"/>
    <w:rsid w:val="008B5F4A"/>
    <w:rsid w:val="008B634B"/>
    <w:rsid w:val="008C0007"/>
    <w:rsid w:val="008C04A1"/>
    <w:rsid w:val="008C1BF8"/>
    <w:rsid w:val="008C2EC3"/>
    <w:rsid w:val="008C2FB7"/>
    <w:rsid w:val="008C403C"/>
    <w:rsid w:val="008C5260"/>
    <w:rsid w:val="008D2BAD"/>
    <w:rsid w:val="008D2BCE"/>
    <w:rsid w:val="008D498B"/>
    <w:rsid w:val="008D53CE"/>
    <w:rsid w:val="008D6B3D"/>
    <w:rsid w:val="008E1556"/>
    <w:rsid w:val="008E38C0"/>
    <w:rsid w:val="008E5B0D"/>
    <w:rsid w:val="008E5F37"/>
    <w:rsid w:val="008E6C59"/>
    <w:rsid w:val="008F3187"/>
    <w:rsid w:val="008F7848"/>
    <w:rsid w:val="009034AA"/>
    <w:rsid w:val="00906C32"/>
    <w:rsid w:val="00906D5A"/>
    <w:rsid w:val="00910104"/>
    <w:rsid w:val="009115CF"/>
    <w:rsid w:val="009125DF"/>
    <w:rsid w:val="0091314D"/>
    <w:rsid w:val="00914F9F"/>
    <w:rsid w:val="00915E70"/>
    <w:rsid w:val="0091609D"/>
    <w:rsid w:val="00916828"/>
    <w:rsid w:val="00916B3E"/>
    <w:rsid w:val="009200E8"/>
    <w:rsid w:val="009210D8"/>
    <w:rsid w:val="00921896"/>
    <w:rsid w:val="00921DA9"/>
    <w:rsid w:val="009248C4"/>
    <w:rsid w:val="00924EE4"/>
    <w:rsid w:val="00926843"/>
    <w:rsid w:val="00934372"/>
    <w:rsid w:val="00935A3D"/>
    <w:rsid w:val="009363AE"/>
    <w:rsid w:val="00944088"/>
    <w:rsid w:val="00952C92"/>
    <w:rsid w:val="0095447D"/>
    <w:rsid w:val="00954A01"/>
    <w:rsid w:val="00955A03"/>
    <w:rsid w:val="009626C6"/>
    <w:rsid w:val="00963901"/>
    <w:rsid w:val="009649BA"/>
    <w:rsid w:val="009672B0"/>
    <w:rsid w:val="00967599"/>
    <w:rsid w:val="00970813"/>
    <w:rsid w:val="009725F6"/>
    <w:rsid w:val="00972660"/>
    <w:rsid w:val="00974EC9"/>
    <w:rsid w:val="00982018"/>
    <w:rsid w:val="00982248"/>
    <w:rsid w:val="00982A99"/>
    <w:rsid w:val="009831B3"/>
    <w:rsid w:val="009841B6"/>
    <w:rsid w:val="0098564A"/>
    <w:rsid w:val="009857A7"/>
    <w:rsid w:val="00986FAF"/>
    <w:rsid w:val="00991C19"/>
    <w:rsid w:val="009942E7"/>
    <w:rsid w:val="0099431B"/>
    <w:rsid w:val="00994A22"/>
    <w:rsid w:val="00996BD8"/>
    <w:rsid w:val="009A123B"/>
    <w:rsid w:val="009A2B68"/>
    <w:rsid w:val="009A35A0"/>
    <w:rsid w:val="009A3C70"/>
    <w:rsid w:val="009A5E53"/>
    <w:rsid w:val="009B2411"/>
    <w:rsid w:val="009B2614"/>
    <w:rsid w:val="009B2744"/>
    <w:rsid w:val="009B402A"/>
    <w:rsid w:val="009B492D"/>
    <w:rsid w:val="009B6640"/>
    <w:rsid w:val="009B6CDB"/>
    <w:rsid w:val="009C0566"/>
    <w:rsid w:val="009C1AC2"/>
    <w:rsid w:val="009C28FE"/>
    <w:rsid w:val="009C2D04"/>
    <w:rsid w:val="009C3488"/>
    <w:rsid w:val="009C3998"/>
    <w:rsid w:val="009C5622"/>
    <w:rsid w:val="009D2047"/>
    <w:rsid w:val="009D38E2"/>
    <w:rsid w:val="009D5E00"/>
    <w:rsid w:val="009E06BF"/>
    <w:rsid w:val="009E0A5B"/>
    <w:rsid w:val="009E0EBE"/>
    <w:rsid w:val="009E152A"/>
    <w:rsid w:val="009E352C"/>
    <w:rsid w:val="009E5A63"/>
    <w:rsid w:val="009E7BFE"/>
    <w:rsid w:val="009F2A5A"/>
    <w:rsid w:val="009F2CCC"/>
    <w:rsid w:val="009F4623"/>
    <w:rsid w:val="009F5C5D"/>
    <w:rsid w:val="009F6848"/>
    <w:rsid w:val="00A01B1D"/>
    <w:rsid w:val="00A02F73"/>
    <w:rsid w:val="00A0641E"/>
    <w:rsid w:val="00A11D55"/>
    <w:rsid w:val="00A12223"/>
    <w:rsid w:val="00A12993"/>
    <w:rsid w:val="00A1344D"/>
    <w:rsid w:val="00A134A0"/>
    <w:rsid w:val="00A14604"/>
    <w:rsid w:val="00A14E6F"/>
    <w:rsid w:val="00A15BD6"/>
    <w:rsid w:val="00A16904"/>
    <w:rsid w:val="00A26167"/>
    <w:rsid w:val="00A26C51"/>
    <w:rsid w:val="00A26F20"/>
    <w:rsid w:val="00A27C81"/>
    <w:rsid w:val="00A33BD0"/>
    <w:rsid w:val="00A3429F"/>
    <w:rsid w:val="00A3572B"/>
    <w:rsid w:val="00A363B1"/>
    <w:rsid w:val="00A40A1D"/>
    <w:rsid w:val="00A411D8"/>
    <w:rsid w:val="00A50787"/>
    <w:rsid w:val="00A509BB"/>
    <w:rsid w:val="00A51410"/>
    <w:rsid w:val="00A526AA"/>
    <w:rsid w:val="00A538E8"/>
    <w:rsid w:val="00A57791"/>
    <w:rsid w:val="00A616B9"/>
    <w:rsid w:val="00A62945"/>
    <w:rsid w:val="00A62E4C"/>
    <w:rsid w:val="00A70006"/>
    <w:rsid w:val="00A716EF"/>
    <w:rsid w:val="00A72E4E"/>
    <w:rsid w:val="00A743F5"/>
    <w:rsid w:val="00A75037"/>
    <w:rsid w:val="00A7552E"/>
    <w:rsid w:val="00A7567C"/>
    <w:rsid w:val="00A76096"/>
    <w:rsid w:val="00A7736B"/>
    <w:rsid w:val="00A8094A"/>
    <w:rsid w:val="00A816DE"/>
    <w:rsid w:val="00A840A9"/>
    <w:rsid w:val="00A8564F"/>
    <w:rsid w:val="00A870BB"/>
    <w:rsid w:val="00A909FE"/>
    <w:rsid w:val="00A946ED"/>
    <w:rsid w:val="00A948DF"/>
    <w:rsid w:val="00A96C78"/>
    <w:rsid w:val="00AA146D"/>
    <w:rsid w:val="00AA16CF"/>
    <w:rsid w:val="00AA170B"/>
    <w:rsid w:val="00AA1939"/>
    <w:rsid w:val="00AA241F"/>
    <w:rsid w:val="00AA262A"/>
    <w:rsid w:val="00AA3FD1"/>
    <w:rsid w:val="00AA41A9"/>
    <w:rsid w:val="00AB1275"/>
    <w:rsid w:val="00AB22E0"/>
    <w:rsid w:val="00AB5CC2"/>
    <w:rsid w:val="00AC05E7"/>
    <w:rsid w:val="00AC1A6B"/>
    <w:rsid w:val="00AC1E86"/>
    <w:rsid w:val="00AC223C"/>
    <w:rsid w:val="00AC585B"/>
    <w:rsid w:val="00AC5ABB"/>
    <w:rsid w:val="00AC6D3C"/>
    <w:rsid w:val="00AC722B"/>
    <w:rsid w:val="00AC7571"/>
    <w:rsid w:val="00AD024B"/>
    <w:rsid w:val="00AD6D70"/>
    <w:rsid w:val="00AD6EBD"/>
    <w:rsid w:val="00AE1EFA"/>
    <w:rsid w:val="00AE26DB"/>
    <w:rsid w:val="00AE73F4"/>
    <w:rsid w:val="00AE7AAD"/>
    <w:rsid w:val="00AF069B"/>
    <w:rsid w:val="00AF145D"/>
    <w:rsid w:val="00AF4B97"/>
    <w:rsid w:val="00B01033"/>
    <w:rsid w:val="00B0660D"/>
    <w:rsid w:val="00B07442"/>
    <w:rsid w:val="00B077CB"/>
    <w:rsid w:val="00B15132"/>
    <w:rsid w:val="00B15C10"/>
    <w:rsid w:val="00B16395"/>
    <w:rsid w:val="00B17E8F"/>
    <w:rsid w:val="00B223C7"/>
    <w:rsid w:val="00B244BA"/>
    <w:rsid w:val="00B2559E"/>
    <w:rsid w:val="00B279EB"/>
    <w:rsid w:val="00B31161"/>
    <w:rsid w:val="00B41907"/>
    <w:rsid w:val="00B4252B"/>
    <w:rsid w:val="00B42C98"/>
    <w:rsid w:val="00B448BC"/>
    <w:rsid w:val="00B454E0"/>
    <w:rsid w:val="00B46690"/>
    <w:rsid w:val="00B4727C"/>
    <w:rsid w:val="00B47CD5"/>
    <w:rsid w:val="00B5331A"/>
    <w:rsid w:val="00B556FD"/>
    <w:rsid w:val="00B5663E"/>
    <w:rsid w:val="00B56D98"/>
    <w:rsid w:val="00B608CB"/>
    <w:rsid w:val="00B60A09"/>
    <w:rsid w:val="00B63949"/>
    <w:rsid w:val="00B652DB"/>
    <w:rsid w:val="00B65B01"/>
    <w:rsid w:val="00B73ABC"/>
    <w:rsid w:val="00B74933"/>
    <w:rsid w:val="00B76776"/>
    <w:rsid w:val="00B76BA4"/>
    <w:rsid w:val="00B77442"/>
    <w:rsid w:val="00B82B33"/>
    <w:rsid w:val="00B82D8C"/>
    <w:rsid w:val="00B84566"/>
    <w:rsid w:val="00B87164"/>
    <w:rsid w:val="00B874DD"/>
    <w:rsid w:val="00B87934"/>
    <w:rsid w:val="00B900A4"/>
    <w:rsid w:val="00B9086C"/>
    <w:rsid w:val="00B90871"/>
    <w:rsid w:val="00B92386"/>
    <w:rsid w:val="00B947E9"/>
    <w:rsid w:val="00B95896"/>
    <w:rsid w:val="00B97E56"/>
    <w:rsid w:val="00BA411C"/>
    <w:rsid w:val="00BA5982"/>
    <w:rsid w:val="00BA77B9"/>
    <w:rsid w:val="00BB0D96"/>
    <w:rsid w:val="00BB1600"/>
    <w:rsid w:val="00BB1B46"/>
    <w:rsid w:val="00BB1C40"/>
    <w:rsid w:val="00BB27E4"/>
    <w:rsid w:val="00BB2EE5"/>
    <w:rsid w:val="00BB5688"/>
    <w:rsid w:val="00BC18A9"/>
    <w:rsid w:val="00BC1E9B"/>
    <w:rsid w:val="00BC30FB"/>
    <w:rsid w:val="00BC50F7"/>
    <w:rsid w:val="00BC533F"/>
    <w:rsid w:val="00BC5CC2"/>
    <w:rsid w:val="00BC6BCE"/>
    <w:rsid w:val="00BD0582"/>
    <w:rsid w:val="00BD2EE0"/>
    <w:rsid w:val="00BD2FB6"/>
    <w:rsid w:val="00BD48C4"/>
    <w:rsid w:val="00BD673D"/>
    <w:rsid w:val="00BD6BF8"/>
    <w:rsid w:val="00BE1428"/>
    <w:rsid w:val="00BE17E8"/>
    <w:rsid w:val="00BE1AA4"/>
    <w:rsid w:val="00BE2CBD"/>
    <w:rsid w:val="00BE3446"/>
    <w:rsid w:val="00BF135C"/>
    <w:rsid w:val="00BF348F"/>
    <w:rsid w:val="00BF51FB"/>
    <w:rsid w:val="00C01002"/>
    <w:rsid w:val="00C0372E"/>
    <w:rsid w:val="00C0403D"/>
    <w:rsid w:val="00C04F02"/>
    <w:rsid w:val="00C07278"/>
    <w:rsid w:val="00C101C2"/>
    <w:rsid w:val="00C101C8"/>
    <w:rsid w:val="00C11CC6"/>
    <w:rsid w:val="00C11D1D"/>
    <w:rsid w:val="00C13761"/>
    <w:rsid w:val="00C139A5"/>
    <w:rsid w:val="00C146F9"/>
    <w:rsid w:val="00C16F46"/>
    <w:rsid w:val="00C2041B"/>
    <w:rsid w:val="00C207AB"/>
    <w:rsid w:val="00C20919"/>
    <w:rsid w:val="00C227FF"/>
    <w:rsid w:val="00C240F8"/>
    <w:rsid w:val="00C2488B"/>
    <w:rsid w:val="00C248E7"/>
    <w:rsid w:val="00C2740C"/>
    <w:rsid w:val="00C27D11"/>
    <w:rsid w:val="00C30F16"/>
    <w:rsid w:val="00C3457C"/>
    <w:rsid w:val="00C34879"/>
    <w:rsid w:val="00C35705"/>
    <w:rsid w:val="00C35C8C"/>
    <w:rsid w:val="00C425FE"/>
    <w:rsid w:val="00C4369A"/>
    <w:rsid w:val="00C479EC"/>
    <w:rsid w:val="00C5286F"/>
    <w:rsid w:val="00C545D8"/>
    <w:rsid w:val="00C5624D"/>
    <w:rsid w:val="00C6255C"/>
    <w:rsid w:val="00C62B1D"/>
    <w:rsid w:val="00C63482"/>
    <w:rsid w:val="00C63897"/>
    <w:rsid w:val="00C65CF2"/>
    <w:rsid w:val="00C67F80"/>
    <w:rsid w:val="00C71F1E"/>
    <w:rsid w:val="00C74E27"/>
    <w:rsid w:val="00C86679"/>
    <w:rsid w:val="00C87177"/>
    <w:rsid w:val="00C901A8"/>
    <w:rsid w:val="00C94384"/>
    <w:rsid w:val="00C976ED"/>
    <w:rsid w:val="00CA17FC"/>
    <w:rsid w:val="00CA274F"/>
    <w:rsid w:val="00CA3394"/>
    <w:rsid w:val="00CA4C1F"/>
    <w:rsid w:val="00CA4FC6"/>
    <w:rsid w:val="00CA637D"/>
    <w:rsid w:val="00CA6B6C"/>
    <w:rsid w:val="00CA6F24"/>
    <w:rsid w:val="00CA711C"/>
    <w:rsid w:val="00CA7BED"/>
    <w:rsid w:val="00CB1BB4"/>
    <w:rsid w:val="00CB2AA5"/>
    <w:rsid w:val="00CB573D"/>
    <w:rsid w:val="00CB6897"/>
    <w:rsid w:val="00CC0442"/>
    <w:rsid w:val="00CC1D14"/>
    <w:rsid w:val="00CC1EDF"/>
    <w:rsid w:val="00CC4578"/>
    <w:rsid w:val="00CD0331"/>
    <w:rsid w:val="00CD1608"/>
    <w:rsid w:val="00CD1A3E"/>
    <w:rsid w:val="00CD2F96"/>
    <w:rsid w:val="00CD5AFE"/>
    <w:rsid w:val="00CD61F2"/>
    <w:rsid w:val="00CD6C5C"/>
    <w:rsid w:val="00CD7077"/>
    <w:rsid w:val="00CE0C96"/>
    <w:rsid w:val="00CE1C3F"/>
    <w:rsid w:val="00CE26C3"/>
    <w:rsid w:val="00CE2A40"/>
    <w:rsid w:val="00CE2B53"/>
    <w:rsid w:val="00CE2E9F"/>
    <w:rsid w:val="00CE3522"/>
    <w:rsid w:val="00CE5135"/>
    <w:rsid w:val="00CE6F3B"/>
    <w:rsid w:val="00CF0364"/>
    <w:rsid w:val="00CF05D6"/>
    <w:rsid w:val="00CF0980"/>
    <w:rsid w:val="00CF09B5"/>
    <w:rsid w:val="00CF2937"/>
    <w:rsid w:val="00CF3DCC"/>
    <w:rsid w:val="00CF56C6"/>
    <w:rsid w:val="00CF5FC1"/>
    <w:rsid w:val="00CF7A05"/>
    <w:rsid w:val="00D02264"/>
    <w:rsid w:val="00D03240"/>
    <w:rsid w:val="00D0455A"/>
    <w:rsid w:val="00D11976"/>
    <w:rsid w:val="00D14D14"/>
    <w:rsid w:val="00D15704"/>
    <w:rsid w:val="00D17DD9"/>
    <w:rsid w:val="00D21307"/>
    <w:rsid w:val="00D22348"/>
    <w:rsid w:val="00D22E35"/>
    <w:rsid w:val="00D239C0"/>
    <w:rsid w:val="00D279B2"/>
    <w:rsid w:val="00D27F7C"/>
    <w:rsid w:val="00D35393"/>
    <w:rsid w:val="00D35CEE"/>
    <w:rsid w:val="00D37B9A"/>
    <w:rsid w:val="00D426CF"/>
    <w:rsid w:val="00D427AD"/>
    <w:rsid w:val="00D51787"/>
    <w:rsid w:val="00D52C62"/>
    <w:rsid w:val="00D52FFD"/>
    <w:rsid w:val="00D54610"/>
    <w:rsid w:val="00D56D42"/>
    <w:rsid w:val="00D570D5"/>
    <w:rsid w:val="00D60964"/>
    <w:rsid w:val="00D6258A"/>
    <w:rsid w:val="00D640F2"/>
    <w:rsid w:val="00D654CA"/>
    <w:rsid w:val="00D65CFA"/>
    <w:rsid w:val="00D65FD8"/>
    <w:rsid w:val="00D74310"/>
    <w:rsid w:val="00D813F1"/>
    <w:rsid w:val="00D90E0B"/>
    <w:rsid w:val="00D924F7"/>
    <w:rsid w:val="00D94FFF"/>
    <w:rsid w:val="00D95357"/>
    <w:rsid w:val="00DA34C9"/>
    <w:rsid w:val="00DA3998"/>
    <w:rsid w:val="00DA3B06"/>
    <w:rsid w:val="00DA3D29"/>
    <w:rsid w:val="00DB047E"/>
    <w:rsid w:val="00DB066B"/>
    <w:rsid w:val="00DB2791"/>
    <w:rsid w:val="00DB2867"/>
    <w:rsid w:val="00DB3351"/>
    <w:rsid w:val="00DB4B9D"/>
    <w:rsid w:val="00DB7662"/>
    <w:rsid w:val="00DC05F4"/>
    <w:rsid w:val="00DC1279"/>
    <w:rsid w:val="00DC17F6"/>
    <w:rsid w:val="00DC2A5A"/>
    <w:rsid w:val="00DC3583"/>
    <w:rsid w:val="00DC3A08"/>
    <w:rsid w:val="00DC3A84"/>
    <w:rsid w:val="00DC42A9"/>
    <w:rsid w:val="00DC54E5"/>
    <w:rsid w:val="00DC61BD"/>
    <w:rsid w:val="00DC67D9"/>
    <w:rsid w:val="00DD3B18"/>
    <w:rsid w:val="00DD5B0E"/>
    <w:rsid w:val="00DD5EB1"/>
    <w:rsid w:val="00DD7B61"/>
    <w:rsid w:val="00DD7F6B"/>
    <w:rsid w:val="00DE3351"/>
    <w:rsid w:val="00DE3E52"/>
    <w:rsid w:val="00DE3EDB"/>
    <w:rsid w:val="00DE457E"/>
    <w:rsid w:val="00DE5213"/>
    <w:rsid w:val="00DE5625"/>
    <w:rsid w:val="00DE7FE2"/>
    <w:rsid w:val="00DF0DEC"/>
    <w:rsid w:val="00DF1022"/>
    <w:rsid w:val="00DF11A2"/>
    <w:rsid w:val="00DF1570"/>
    <w:rsid w:val="00DF2711"/>
    <w:rsid w:val="00DF2C0F"/>
    <w:rsid w:val="00DF3C99"/>
    <w:rsid w:val="00DF4082"/>
    <w:rsid w:val="00DF6D69"/>
    <w:rsid w:val="00E0018D"/>
    <w:rsid w:val="00E00908"/>
    <w:rsid w:val="00E0093F"/>
    <w:rsid w:val="00E014A8"/>
    <w:rsid w:val="00E0195E"/>
    <w:rsid w:val="00E02C1A"/>
    <w:rsid w:val="00E03427"/>
    <w:rsid w:val="00E046EC"/>
    <w:rsid w:val="00E05313"/>
    <w:rsid w:val="00E07357"/>
    <w:rsid w:val="00E13567"/>
    <w:rsid w:val="00E1427C"/>
    <w:rsid w:val="00E14AC6"/>
    <w:rsid w:val="00E1523C"/>
    <w:rsid w:val="00E16EB9"/>
    <w:rsid w:val="00E2085C"/>
    <w:rsid w:val="00E23CCF"/>
    <w:rsid w:val="00E25997"/>
    <w:rsid w:val="00E26365"/>
    <w:rsid w:val="00E30D56"/>
    <w:rsid w:val="00E30DC3"/>
    <w:rsid w:val="00E32215"/>
    <w:rsid w:val="00E32265"/>
    <w:rsid w:val="00E32D80"/>
    <w:rsid w:val="00E40563"/>
    <w:rsid w:val="00E40A85"/>
    <w:rsid w:val="00E44133"/>
    <w:rsid w:val="00E46B0E"/>
    <w:rsid w:val="00E46E47"/>
    <w:rsid w:val="00E4718A"/>
    <w:rsid w:val="00E516F6"/>
    <w:rsid w:val="00E53BEC"/>
    <w:rsid w:val="00E54553"/>
    <w:rsid w:val="00E56099"/>
    <w:rsid w:val="00E57E49"/>
    <w:rsid w:val="00E60789"/>
    <w:rsid w:val="00E6185E"/>
    <w:rsid w:val="00E62115"/>
    <w:rsid w:val="00E64C95"/>
    <w:rsid w:val="00E653B8"/>
    <w:rsid w:val="00E661B1"/>
    <w:rsid w:val="00E67154"/>
    <w:rsid w:val="00E67F59"/>
    <w:rsid w:val="00E70238"/>
    <w:rsid w:val="00E703E7"/>
    <w:rsid w:val="00E71875"/>
    <w:rsid w:val="00E72171"/>
    <w:rsid w:val="00E72939"/>
    <w:rsid w:val="00E72F45"/>
    <w:rsid w:val="00E73986"/>
    <w:rsid w:val="00E750B4"/>
    <w:rsid w:val="00E75272"/>
    <w:rsid w:val="00E7581D"/>
    <w:rsid w:val="00E75BDD"/>
    <w:rsid w:val="00E81195"/>
    <w:rsid w:val="00E83D5B"/>
    <w:rsid w:val="00E862C8"/>
    <w:rsid w:val="00E8792E"/>
    <w:rsid w:val="00E90284"/>
    <w:rsid w:val="00E90BEC"/>
    <w:rsid w:val="00E921F9"/>
    <w:rsid w:val="00E96C2E"/>
    <w:rsid w:val="00E976EF"/>
    <w:rsid w:val="00EA2AE8"/>
    <w:rsid w:val="00EA2B69"/>
    <w:rsid w:val="00EA42A8"/>
    <w:rsid w:val="00EA4935"/>
    <w:rsid w:val="00EA4CDB"/>
    <w:rsid w:val="00EA7598"/>
    <w:rsid w:val="00EB0604"/>
    <w:rsid w:val="00EB257E"/>
    <w:rsid w:val="00EB326D"/>
    <w:rsid w:val="00EB3495"/>
    <w:rsid w:val="00EB604D"/>
    <w:rsid w:val="00EC1D49"/>
    <w:rsid w:val="00EC386D"/>
    <w:rsid w:val="00EC5354"/>
    <w:rsid w:val="00EC5A35"/>
    <w:rsid w:val="00EC793A"/>
    <w:rsid w:val="00EC7B38"/>
    <w:rsid w:val="00ED06AC"/>
    <w:rsid w:val="00ED1F10"/>
    <w:rsid w:val="00ED29C4"/>
    <w:rsid w:val="00ED361F"/>
    <w:rsid w:val="00ED5E3F"/>
    <w:rsid w:val="00EE1687"/>
    <w:rsid w:val="00EE36A9"/>
    <w:rsid w:val="00EE707F"/>
    <w:rsid w:val="00EF09D0"/>
    <w:rsid w:val="00EF2154"/>
    <w:rsid w:val="00EF3B79"/>
    <w:rsid w:val="00EF633C"/>
    <w:rsid w:val="00F008EF"/>
    <w:rsid w:val="00F0444A"/>
    <w:rsid w:val="00F0570F"/>
    <w:rsid w:val="00F06186"/>
    <w:rsid w:val="00F06A54"/>
    <w:rsid w:val="00F06AD0"/>
    <w:rsid w:val="00F108D3"/>
    <w:rsid w:val="00F115C1"/>
    <w:rsid w:val="00F136AD"/>
    <w:rsid w:val="00F1389F"/>
    <w:rsid w:val="00F1402A"/>
    <w:rsid w:val="00F165BC"/>
    <w:rsid w:val="00F22EF9"/>
    <w:rsid w:val="00F251AB"/>
    <w:rsid w:val="00F266C7"/>
    <w:rsid w:val="00F311DA"/>
    <w:rsid w:val="00F32C8B"/>
    <w:rsid w:val="00F35842"/>
    <w:rsid w:val="00F40A5E"/>
    <w:rsid w:val="00F4160D"/>
    <w:rsid w:val="00F422AC"/>
    <w:rsid w:val="00F42B40"/>
    <w:rsid w:val="00F43A4A"/>
    <w:rsid w:val="00F462F1"/>
    <w:rsid w:val="00F466F4"/>
    <w:rsid w:val="00F469B9"/>
    <w:rsid w:val="00F474F1"/>
    <w:rsid w:val="00F47B82"/>
    <w:rsid w:val="00F51AEE"/>
    <w:rsid w:val="00F5452C"/>
    <w:rsid w:val="00F56A29"/>
    <w:rsid w:val="00F56F88"/>
    <w:rsid w:val="00F5788F"/>
    <w:rsid w:val="00F62FAA"/>
    <w:rsid w:val="00F67370"/>
    <w:rsid w:val="00F67474"/>
    <w:rsid w:val="00F70BAA"/>
    <w:rsid w:val="00F72E0F"/>
    <w:rsid w:val="00F74946"/>
    <w:rsid w:val="00F764AC"/>
    <w:rsid w:val="00F815AD"/>
    <w:rsid w:val="00F8287A"/>
    <w:rsid w:val="00F8367C"/>
    <w:rsid w:val="00F845FF"/>
    <w:rsid w:val="00F84DAC"/>
    <w:rsid w:val="00F85216"/>
    <w:rsid w:val="00F90CE7"/>
    <w:rsid w:val="00F9188C"/>
    <w:rsid w:val="00F92327"/>
    <w:rsid w:val="00F93A5B"/>
    <w:rsid w:val="00F953F1"/>
    <w:rsid w:val="00FA38BE"/>
    <w:rsid w:val="00FA4AA0"/>
    <w:rsid w:val="00FA5927"/>
    <w:rsid w:val="00FA6D8E"/>
    <w:rsid w:val="00FA6F2E"/>
    <w:rsid w:val="00FB0555"/>
    <w:rsid w:val="00FB58D6"/>
    <w:rsid w:val="00FB7551"/>
    <w:rsid w:val="00FC1B3E"/>
    <w:rsid w:val="00FC1B45"/>
    <w:rsid w:val="00FC3700"/>
    <w:rsid w:val="00FC6F18"/>
    <w:rsid w:val="00FD1A3F"/>
    <w:rsid w:val="00FD3D6E"/>
    <w:rsid w:val="00FD3F22"/>
    <w:rsid w:val="00FD439D"/>
    <w:rsid w:val="00FD51DA"/>
    <w:rsid w:val="00FD6AFA"/>
    <w:rsid w:val="00FE3C3E"/>
    <w:rsid w:val="00FE41A9"/>
    <w:rsid w:val="00FE45ED"/>
    <w:rsid w:val="00FF0DB3"/>
    <w:rsid w:val="00FF58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5C849"/>
  <w15:docId w15:val="{A766DA0C-B231-453B-81B7-01187C70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F35"/>
    <w:pPr>
      <w:spacing w:after="0" w:line="240" w:lineRule="auto"/>
    </w:pPr>
    <w:rPr>
      <w:rFonts w:ascii="Calibri" w:hAnsi="Calibri"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basedOn w:val="Normal"/>
    <w:uiPriority w:val="99"/>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character" w:styleId="Hyperlink">
    <w:name w:val="Hyperlink"/>
    <w:basedOn w:val="DefaultParagraphFont"/>
    <w:uiPriority w:val="99"/>
    <w:unhideWhenUsed/>
    <w:rsid w:val="00E60789"/>
    <w:rPr>
      <w:color w:val="0000FF" w:themeColor="hyperlink"/>
      <w:u w:val="single"/>
    </w:rPr>
  </w:style>
  <w:style w:type="paragraph" w:styleId="NoSpacing">
    <w:name w:val="No Spacing"/>
    <w:uiPriority w:val="1"/>
    <w:qFormat/>
    <w:rsid w:val="00840D0A"/>
    <w:pPr>
      <w:spacing w:after="0" w:line="240" w:lineRule="auto"/>
    </w:pPr>
    <w:rPr>
      <w:rFonts w:ascii="Calibri" w:hAnsi="Calibri" w:cs="Angsana New"/>
    </w:rPr>
  </w:style>
  <w:style w:type="character" w:styleId="CommentReference">
    <w:name w:val="annotation reference"/>
    <w:basedOn w:val="DefaultParagraphFont"/>
    <w:uiPriority w:val="99"/>
    <w:semiHidden/>
    <w:unhideWhenUsed/>
    <w:rsid w:val="00CE3522"/>
    <w:rPr>
      <w:sz w:val="16"/>
      <w:szCs w:val="18"/>
    </w:rPr>
  </w:style>
  <w:style w:type="paragraph" w:styleId="CommentText">
    <w:name w:val="annotation text"/>
    <w:basedOn w:val="Normal"/>
    <w:link w:val="CommentTextChar"/>
    <w:uiPriority w:val="99"/>
    <w:semiHidden/>
    <w:unhideWhenUsed/>
    <w:rsid w:val="00CE3522"/>
    <w:rPr>
      <w:rFonts w:cs="Angsana New"/>
      <w:sz w:val="20"/>
      <w:szCs w:val="25"/>
    </w:rPr>
  </w:style>
  <w:style w:type="character" w:customStyle="1" w:styleId="CommentTextChar">
    <w:name w:val="Comment Text Char"/>
    <w:basedOn w:val="DefaultParagraphFont"/>
    <w:link w:val="CommentText"/>
    <w:uiPriority w:val="99"/>
    <w:semiHidden/>
    <w:rsid w:val="00CE3522"/>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CE3522"/>
    <w:rPr>
      <w:b/>
      <w:bCs/>
    </w:rPr>
  </w:style>
  <w:style w:type="character" w:customStyle="1" w:styleId="CommentSubjectChar">
    <w:name w:val="Comment Subject Char"/>
    <w:basedOn w:val="CommentTextChar"/>
    <w:link w:val="CommentSubject"/>
    <w:uiPriority w:val="99"/>
    <w:semiHidden/>
    <w:rsid w:val="00CE3522"/>
    <w:rPr>
      <w:rFonts w:ascii="Calibri" w:hAnsi="Calibri"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0295200">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478545275">
      <w:bodyDiv w:val="1"/>
      <w:marLeft w:val="0"/>
      <w:marRight w:val="0"/>
      <w:marTop w:val="0"/>
      <w:marBottom w:val="0"/>
      <w:divBdr>
        <w:top w:val="none" w:sz="0" w:space="0" w:color="auto"/>
        <w:left w:val="none" w:sz="0" w:space="0" w:color="auto"/>
        <w:bottom w:val="none" w:sz="0" w:space="0" w:color="auto"/>
        <w:right w:val="none" w:sz="0" w:space="0" w:color="auto"/>
      </w:divBdr>
    </w:div>
    <w:div w:id="496313628">
      <w:bodyDiv w:val="1"/>
      <w:marLeft w:val="0"/>
      <w:marRight w:val="0"/>
      <w:marTop w:val="0"/>
      <w:marBottom w:val="0"/>
      <w:divBdr>
        <w:top w:val="none" w:sz="0" w:space="0" w:color="auto"/>
        <w:left w:val="none" w:sz="0" w:space="0" w:color="auto"/>
        <w:bottom w:val="none" w:sz="0" w:space="0" w:color="auto"/>
        <w:right w:val="none" w:sz="0" w:space="0" w:color="auto"/>
      </w:divBdr>
    </w:div>
    <w:div w:id="632176412">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823937351">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795127684">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13444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D0907-CF34-4867-9CA3-83601B7DD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1508</Words>
  <Characters>8597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10085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Dell</dc:creator>
  <cp:lastModifiedBy>Pattraporn Yosvichit</cp:lastModifiedBy>
  <cp:revision>5</cp:revision>
  <cp:lastPrinted>2019-07-26T06:25:00Z</cp:lastPrinted>
  <dcterms:created xsi:type="dcterms:W3CDTF">2019-07-26T06:00:00Z</dcterms:created>
  <dcterms:modified xsi:type="dcterms:W3CDTF">2019-07-26T06:46:00Z</dcterms:modified>
</cp:coreProperties>
</file>